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1390650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SECURITIES AND EXCHANGE COMMISSION</w:t>
      </w:r>
    </w:p>
    <w:p>
      <w:pPr>
        <w:spacing w:after="0" w:line="13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34"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FORM 10-Q</w:t>
      </w:r>
    </w:p>
    <w:p>
      <w:pPr>
        <w:spacing w:after="0" w:line="210"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6"/>
          <w:szCs w:val="16"/>
          <w:color w:val="auto"/>
        </w:rPr>
        <w:t>QUARTERLY REPORT PURSUANT TO SECTION 13 OR 15(d) OF THE SECURITIES EXCHANGE ACT OF 1934</w:t>
      </w:r>
    </w:p>
    <w:p>
      <w:pPr>
        <w:spacing w:after="0" w:line="151" w:lineRule="exact"/>
        <w:rPr>
          <w:rFonts w:ascii="MS PGothic" w:cs="MS PGothic" w:eastAsia="MS PGothic" w:hAnsi="MS PGothic"/>
          <w:sz w:val="19"/>
          <w:szCs w:val="19"/>
          <w:color w:val="auto"/>
        </w:rPr>
      </w:pPr>
    </w:p>
    <w:p>
      <w:pPr>
        <w:ind w:left="64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June 30, 2023</w:t>
      </w:r>
    </w:p>
    <w:p>
      <w:pPr>
        <w:spacing w:after="0" w:line="193"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19"/>
          <w:szCs w:val="19"/>
          <w:color w:val="auto"/>
        </w:rPr>
      </w:pPr>
      <w:r>
        <w:rPr>
          <w:rFonts w:ascii="Arial" w:cs="Arial" w:eastAsia="Arial" w:hAnsi="Arial"/>
          <w:sz w:val="16"/>
          <w:szCs w:val="16"/>
          <w:color w:val="auto"/>
        </w:rPr>
        <w:t>TRANSITION REPORT PURSUANT TO SECTION 13 OR 15(d) OF THE SECURITIES EXCHANGE ACT OF 1934</w:t>
      </w:r>
    </w:p>
    <w:p>
      <w:pPr>
        <w:spacing w:after="0" w:line="200" w:lineRule="exact"/>
        <w:rPr>
          <w:sz w:val="24"/>
          <w:szCs w:val="24"/>
          <w:color w:val="auto"/>
        </w:rPr>
      </w:pPr>
    </w:p>
    <w:p>
      <w:pPr>
        <w:spacing w:after="0" w:line="29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Commission File No.: 1-12504</w:t>
      </w:r>
    </w:p>
    <w:p>
      <w:pPr>
        <w:spacing w:after="0" w:line="14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THE MACERICH COMPANY</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33"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Maryland</w:t>
      </w:r>
    </w:p>
    <w:p>
      <w:pPr>
        <w:spacing w:after="0" w:line="26"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95-4448705</w:t>
      </w:r>
    </w:p>
    <w:p>
      <w:pPr>
        <w:spacing w:after="0" w:line="26" w:lineRule="exact"/>
        <w:rPr>
          <w:sz w:val="24"/>
          <w:szCs w:val="24"/>
          <w:color w:val="auto"/>
        </w:rPr>
      </w:pPr>
    </w:p>
    <w:p>
      <w:pPr>
        <w:jc w:val="center"/>
        <w:ind w:right="1360"/>
        <w:spacing w:after="0"/>
        <w:rPr>
          <w:sz w:val="20"/>
          <w:szCs w:val="20"/>
          <w:color w:val="auto"/>
        </w:rPr>
      </w:pPr>
      <w:r>
        <w:rPr>
          <w:rFonts w:ascii="Arial" w:cs="Arial" w:eastAsia="Arial" w:hAnsi="Arial"/>
          <w:sz w:val="14"/>
          <w:szCs w:val="14"/>
          <w:color w:val="auto"/>
        </w:rPr>
        <w:t>(I.R.S. Employer Identification Number)</w:t>
      </w:r>
    </w:p>
    <w:p>
      <w:pPr>
        <w:spacing w:after="0" w:line="36" w:lineRule="exact"/>
        <w:rPr>
          <w:sz w:val="24"/>
          <w:szCs w:val="24"/>
          <w:color w:val="auto"/>
        </w:rPr>
      </w:pPr>
    </w:p>
    <w:p>
      <w:pPr>
        <w:sectPr>
          <w:pgSz w:w="11900" w:h="16838" w:orient="portrait"/>
          <w:cols w:equalWidth="0" w:num="2">
            <w:col w:w="6440" w:space="720"/>
            <w:col w:w="3940"/>
          </w:cols>
          <w:pgMar w:left="320" w:top="1440" w:right="479" w:bottom="1440" w:gutter="0" w:footer="0" w:header="0"/>
          <w:type w:val="continuous"/>
        </w:sectPr>
      </w:pPr>
    </w:p>
    <w:p>
      <w:pPr>
        <w:ind w:left="1920"/>
        <w:spacing w:after="0"/>
        <w:rPr>
          <w:sz w:val="20"/>
          <w:szCs w:val="20"/>
          <w:color w:val="auto"/>
        </w:rPr>
      </w:pPr>
      <w:r>
        <w:rPr>
          <w:rFonts w:ascii="Arial" w:cs="Arial" w:eastAsia="Arial" w:hAnsi="Arial"/>
          <w:sz w:val="14"/>
          <w:szCs w:val="14"/>
          <w:color w:val="auto"/>
        </w:rPr>
        <w:t>incorporation or organization)</w:t>
      </w:r>
    </w:p>
    <w:p>
      <w:pPr>
        <w:sectPr>
          <w:pgSz w:w="11900" w:h="16838" w:orient="portrait"/>
          <w:cols w:equalWidth="0" w:num="1">
            <w:col w:w="11100"/>
          </w:cols>
          <w:pgMar w:left="320" w:top="1440" w:right="479" w:bottom="1440" w:gutter="0" w:footer="0" w:header="0"/>
          <w:type w:val="continuous"/>
        </w:sectPr>
      </w:pPr>
    </w:p>
    <w:p>
      <w:pPr>
        <w:spacing w:after="0" w:line="10" w:lineRule="exact"/>
        <w:rPr>
          <w:sz w:val="24"/>
          <w:szCs w:val="24"/>
          <w:color w:val="auto"/>
        </w:rPr>
      </w:pPr>
    </w:p>
    <w:p>
      <w:pPr>
        <w:ind w:left="1660" w:hanging="1229"/>
        <w:spacing w:after="0" w:line="274" w:lineRule="auto"/>
        <w:rPr>
          <w:sz w:val="20"/>
          <w:szCs w:val="20"/>
          <w:color w:val="auto"/>
        </w:rPr>
      </w:pPr>
      <w:r>
        <w:rPr>
          <w:rFonts w:ascii="Arial" w:cs="Arial" w:eastAsia="Arial" w:hAnsi="Arial"/>
          <w:sz w:val="16"/>
          <w:szCs w:val="16"/>
          <w:color w:val="auto"/>
        </w:rPr>
        <w:t>401 Wilshire Boulevard,</w:t>
      </w:r>
      <w:r>
        <w:rPr>
          <w:sz w:val="20"/>
          <w:szCs w:val="20"/>
          <w:color w:val="auto"/>
        </w:rPr>
        <w:t xml:space="preserve"> </w:t>
      </w:r>
      <w:r>
        <w:rPr>
          <w:rFonts w:ascii="Arial" w:cs="Arial" w:eastAsia="Arial" w:hAnsi="Arial"/>
          <w:sz w:val="16"/>
          <w:szCs w:val="16"/>
          <w:color w:val="auto"/>
        </w:rPr>
        <w:t>Suite 700, Santa Monica, (Address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California</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6"/>
          <w:szCs w:val="16"/>
          <w:color w:val="auto"/>
        </w:rPr>
        <w:t>90401</w:t>
      </w:r>
    </w:p>
    <w:p>
      <w:pPr>
        <w:spacing w:after="0" w:line="26" w:lineRule="exact"/>
        <w:rPr>
          <w:sz w:val="24"/>
          <w:szCs w:val="24"/>
          <w:color w:val="auto"/>
        </w:rPr>
      </w:pPr>
    </w:p>
    <w:p>
      <w:pPr>
        <w:jc w:val="center"/>
        <w:ind w:right="2300"/>
        <w:spacing w:after="0"/>
        <w:rPr>
          <w:sz w:val="20"/>
          <w:szCs w:val="20"/>
          <w:color w:val="auto"/>
        </w:rPr>
      </w:pPr>
      <w:r>
        <w:rPr>
          <w:rFonts w:ascii="Arial" w:cs="Arial" w:eastAsia="Arial" w:hAnsi="Arial"/>
          <w:sz w:val="14"/>
          <w:szCs w:val="14"/>
          <w:color w:val="auto"/>
        </w:rPr>
        <w:t>(Zip Code)</w:t>
      </w:r>
    </w:p>
    <w:p>
      <w:pPr>
        <w:spacing w:after="0" w:line="49" w:lineRule="exact"/>
        <w:rPr>
          <w:sz w:val="24"/>
          <w:szCs w:val="24"/>
          <w:color w:val="auto"/>
        </w:rPr>
      </w:pPr>
    </w:p>
    <w:p>
      <w:pPr>
        <w:sectPr>
          <w:pgSz w:w="11900" w:h="16838" w:orient="portrait"/>
          <w:cols w:equalWidth="0" w:num="3">
            <w:col w:w="4360" w:space="440"/>
            <w:col w:w="2580" w:space="720"/>
            <w:col w:w="3000"/>
          </w:cols>
          <w:pgMar w:left="320" w:top="1440" w:right="479" w:bottom="1440" w:gutter="0" w:footer="0" w:header="0"/>
          <w:type w:val="continuous"/>
        </w:sectPr>
      </w:pPr>
    </w:p>
    <w:p>
      <w:pPr>
        <w:jc w:val="center"/>
        <w:ind w:right="-479"/>
        <w:spacing w:after="0"/>
        <w:rPr>
          <w:sz w:val="20"/>
          <w:szCs w:val="20"/>
          <w:color w:val="auto"/>
        </w:rPr>
      </w:pPr>
      <w:r>
        <w:rPr>
          <w:rFonts w:ascii="Arial" w:cs="Arial" w:eastAsia="Arial" w:hAnsi="Arial"/>
          <w:sz w:val="14"/>
          <w:szCs w:val="14"/>
          <w:color w:val="auto"/>
        </w:rPr>
        <w:t>(310) 394-6000</w:t>
      </w:r>
    </w:p>
    <w:p>
      <w:pPr>
        <w:sectPr>
          <w:pgSz w:w="11900" w:h="16838" w:orient="portrait"/>
          <w:cols w:equalWidth="0" w:num="1">
            <w:col w:w="11100"/>
          </w:cols>
          <w:pgMar w:left="320" w:top="1440" w:right="479" w:bottom="1440" w:gutter="0" w:footer="0" w:header="0"/>
          <w:type w:val="continuous"/>
        </w:sectPr>
      </w:pPr>
    </w:p>
    <w:p>
      <w:pPr>
        <w:spacing w:after="0" w:line="49" w:lineRule="exact"/>
        <w:rPr>
          <w:sz w:val="24"/>
          <w:szCs w:val="24"/>
          <w:color w:val="auto"/>
        </w:rPr>
      </w:pPr>
    </w:p>
    <w:p>
      <w:pPr>
        <w:ind w:left="3980"/>
        <w:spacing w:after="0"/>
        <w:rPr>
          <w:sz w:val="20"/>
          <w:szCs w:val="20"/>
          <w:color w:val="auto"/>
        </w:rPr>
      </w:pPr>
      <w:r>
        <w:rPr>
          <w:rFonts w:ascii="Arial" w:cs="Arial" w:eastAsia="Arial" w:hAnsi="Arial"/>
          <w:sz w:val="16"/>
          <w:szCs w:val="16"/>
          <w:color w:val="auto"/>
        </w:rPr>
        <w:t>(Registrant's telephone number, including area code)</w:t>
      </w:r>
    </w:p>
    <w:p>
      <w:pPr>
        <w:spacing w:after="0" w:line="14" w:lineRule="exact"/>
        <w:rPr>
          <w:sz w:val="24"/>
          <w:szCs w:val="24"/>
          <w:color w:val="auto"/>
        </w:rPr>
      </w:pPr>
    </w:p>
    <w:p>
      <w:pPr>
        <w:ind w:left="5480"/>
        <w:spacing w:after="0"/>
        <w:rPr>
          <w:sz w:val="20"/>
          <w:szCs w:val="20"/>
          <w:color w:val="auto"/>
        </w:rPr>
      </w:pPr>
      <w:r>
        <w:rPr>
          <w:rFonts w:ascii="Arial" w:cs="Arial" w:eastAsia="Arial" w:hAnsi="Arial"/>
          <w:sz w:val="16"/>
          <w:szCs w:val="16"/>
          <w:color w:val="auto"/>
        </w:rPr>
        <w:t>N/A</w:t>
      </w:r>
    </w:p>
    <w:p>
      <w:pPr>
        <w:ind w:left="306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4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Securities Act:</w:t>
      </w:r>
    </w:p>
    <w:p>
      <w:pPr>
        <w:sectPr>
          <w:pgSz w:w="11900" w:h="16838" w:orient="portrait"/>
          <w:cols w:equalWidth="0" w:num="1">
            <w:col w:w="11100"/>
          </w:cols>
          <w:pgMar w:left="320" w:top="1440" w:right="479" w:bottom="1440" w:gutter="0" w:footer="0" w:header="0"/>
          <w:type w:val="continuous"/>
        </w:sectPr>
      </w:pPr>
    </w:p>
    <w:p>
      <w:pPr>
        <w:spacing w:after="0" w:line="43"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Title of each class</w:t>
      </w:r>
    </w:p>
    <w:p>
      <w:pPr>
        <w:spacing w:after="0" w:line="30" w:lineRule="exact"/>
        <w:rPr>
          <w:sz w:val="24"/>
          <w:szCs w:val="24"/>
          <w:color w:val="auto"/>
        </w:rPr>
      </w:pPr>
    </w:p>
    <w:p>
      <w:pPr>
        <w:jc w:val="center"/>
        <w:ind w:right="34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Trading symbol</w:t>
      </w:r>
    </w:p>
    <w:p>
      <w:pPr>
        <w:spacing w:after="0" w:line="53"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MAC</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5"/>
          <w:szCs w:val="15"/>
          <w:color w:val="auto"/>
        </w:rPr>
        <w:t>Name of each exchange on which registered</w:t>
      </w:r>
    </w:p>
    <w:p>
      <w:pPr>
        <w:spacing w:after="0" w:line="64"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4080" w:space="720"/>
            <w:col w:w="2020" w:space="720"/>
            <w:col w:w="3560"/>
          </w:cols>
          <w:pgMar w:left="320" w:top="1440" w:right="479" w:bottom="1440" w:gutter="0" w:footer="0" w:header="0"/>
          <w:type w:val="continuous"/>
        </w:sectPr>
      </w:pPr>
    </w:p>
    <w:p>
      <w:pPr>
        <w:spacing w:after="0" w:line="29" w:lineRule="exact"/>
        <w:rPr>
          <w:sz w:val="24"/>
          <w:szCs w:val="24"/>
          <w:color w:val="auto"/>
        </w:rPr>
      </w:pPr>
    </w:p>
    <w:p>
      <w:pPr>
        <w:ind w:right="140" w:firstLine="434"/>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120" w:firstLine="434"/>
        <w:spacing w:after="0" w:line="22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94" w:lineRule="exact"/>
        <w:rPr>
          <w:sz w:val="24"/>
          <w:szCs w:val="24"/>
          <w:color w:val="auto"/>
        </w:rPr>
      </w:pPr>
    </w:p>
    <w:p>
      <w:pPr>
        <w:ind w:firstLine="434"/>
        <w:spacing w:after="0" w:line="29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jc w:val="right"/>
        <w:ind w:left="400" w:right="440"/>
        <w:spacing w:after="0" w:line="230" w:lineRule="exact"/>
        <w:rPr>
          <w:sz w:val="20"/>
          <w:szCs w:val="20"/>
          <w:color w:val="auto"/>
        </w:rPr>
      </w:pPr>
      <w:r>
        <w:rPr>
          <w:rFonts w:ascii="Arial" w:cs="Arial" w:eastAsia="Arial" w:hAnsi="Arial"/>
          <w:sz w:val="16"/>
          <w:szCs w:val="16"/>
          <w:color w:val="auto"/>
        </w:rPr>
        <w:t xml:space="preserve">Large Accelerated Filer      x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95" w:lineRule="exact"/>
        <w:rPr>
          <w:sz w:val="24"/>
          <w:szCs w:val="24"/>
          <w:color w:val="auto"/>
        </w:rPr>
      </w:pPr>
    </w:p>
    <w:p>
      <w:pPr>
        <w:ind w:right="300" w:firstLine="434"/>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8" w:lineRule="exact"/>
        <w:rPr>
          <w:sz w:val="24"/>
          <w:szCs w:val="24"/>
          <w:color w:val="auto"/>
        </w:rPr>
      </w:pPr>
    </w:p>
    <w:p>
      <w:pPr>
        <w:ind w:left="440"/>
        <w:spacing w:after="0" w:line="184" w:lineRule="exact"/>
        <w:tabs>
          <w:tab w:leader="none" w:pos="83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5"/>
          <w:szCs w:val="15"/>
          <w:color w:val="auto"/>
        </w:rPr>
        <w:t>☒</w:t>
      </w:r>
    </w:p>
    <w:p>
      <w:pPr>
        <w:spacing w:after="0" w:line="21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Number of shares outstanding as of August 8, 2023 of the registrant's common stock, par value $0.01 per share: 215,255,925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728345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71361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560" w:type="dxa"/>
            <w:vAlign w:val="bottom"/>
            <w:gridSpan w:val="7"/>
          </w:tcPr>
          <w:p>
            <w:pPr>
              <w:jc w:val="center"/>
              <w:ind w:right="1600"/>
              <w:spacing w:after="0"/>
              <w:rPr>
                <w:sz w:val="20"/>
                <w:szCs w:val="20"/>
                <w:color w:val="auto"/>
              </w:rPr>
            </w:pPr>
            <w:r>
              <w:rPr>
                <w:rFonts w:ascii="Arial" w:cs="Arial" w:eastAsia="Arial" w:hAnsi="Arial"/>
                <w:sz w:val="18"/>
                <w:szCs w:val="18"/>
                <w:b w:val="1"/>
                <w:bCs w:val="1"/>
                <w:color w:val="auto"/>
              </w:rPr>
              <w:t>THE MACERICH COMPANY</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60" w:type="dxa"/>
            <w:vAlign w:val="bottom"/>
            <w:gridSpan w:val="7"/>
          </w:tcPr>
          <w:p>
            <w:pPr>
              <w:jc w:val="center"/>
              <w:ind w:right="1600"/>
              <w:spacing w:after="0"/>
              <w:rPr>
                <w:sz w:val="20"/>
                <w:szCs w:val="20"/>
                <w:color w:val="auto"/>
              </w:rPr>
            </w:pPr>
            <w:r>
              <w:rPr>
                <w:rFonts w:ascii="Arial" w:cs="Arial" w:eastAsia="Arial" w:hAnsi="Arial"/>
                <w:sz w:val="18"/>
                <w:szCs w:val="18"/>
                <w:b w:val="1"/>
                <w:bCs w:val="1"/>
                <w:color w:val="auto"/>
                <w:w w:val="97"/>
              </w:rPr>
              <w:t>FORM 10-Q</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gridSpan w:val="5"/>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06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762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0000FF"/>
                <w:w w:val="87"/>
              </w:rPr>
              <w:t>Item 1.</w:t>
            </w:r>
          </w:p>
        </w:tc>
        <w:tc>
          <w:tcPr>
            <w:tcW w:w="560" w:type="dxa"/>
            <w:vAlign w:val="bottom"/>
            <w:gridSpan w:val="3"/>
          </w:tcPr>
          <w:p>
            <w:pPr>
              <w:spacing w:after="0"/>
              <w:rPr>
                <w:sz w:val="21"/>
                <w:szCs w:val="21"/>
                <w:color w:val="auto"/>
              </w:rPr>
            </w:pPr>
          </w:p>
        </w:tc>
        <w:tc>
          <w:tcPr>
            <w:tcW w:w="7620" w:type="dxa"/>
            <w:vAlign w:val="bottom"/>
            <w:gridSpan w:val="15"/>
          </w:tcPr>
          <w:p>
            <w:pPr>
              <w:spacing w:after="0"/>
              <w:rPr>
                <w:sz w:val="20"/>
                <w:szCs w:val="20"/>
                <w:color w:val="auto"/>
              </w:rPr>
            </w:pPr>
            <w:r>
              <w:rPr>
                <w:rFonts w:ascii="Arial" w:cs="Arial" w:eastAsia="Arial" w:hAnsi="Arial"/>
                <w:sz w:val="18"/>
                <w:szCs w:val="18"/>
                <w:color w:val="0000FF"/>
              </w:rPr>
              <w:t>Financial Statements (Unaudited)</w:t>
            </w: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20" w:type="dxa"/>
            <w:vAlign w:val="bottom"/>
            <w:gridSpan w:val="15"/>
          </w:tcPr>
          <w:p>
            <w:pPr>
              <w:spacing w:after="0"/>
              <w:rPr>
                <w:sz w:val="20"/>
                <w:szCs w:val="20"/>
                <w:color w:val="auto"/>
              </w:rPr>
            </w:pPr>
            <w:r>
              <w:rPr>
                <w:rFonts w:ascii="Arial" w:cs="Arial" w:eastAsia="Arial" w:hAnsi="Arial"/>
                <w:sz w:val="18"/>
                <w:szCs w:val="18"/>
                <w:color w:val="0000FF"/>
              </w:rPr>
              <w:t>Consolidated Balance Sheets as of June 30, 2023 and December 31, 2022</w:t>
            </w: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FF"/>
                <w:w w:val="86"/>
              </w:rPr>
              <w:t>Consolidated Statements of Operations for the three and six months ended June 30, 2023 and 2022</w:t>
            </w:r>
          </w:p>
        </w:tc>
        <w:tc>
          <w:tcPr>
            <w:tcW w:w="700" w:type="dxa"/>
            <w:vAlign w:val="bottom"/>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9"/>
        </w:trPr>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20" w:type="dxa"/>
            <w:vAlign w:val="bottom"/>
            <w:gridSpan w:val="15"/>
          </w:tcPr>
          <w:p>
            <w:pPr>
              <w:spacing w:after="0"/>
              <w:rPr>
                <w:sz w:val="20"/>
                <w:szCs w:val="20"/>
                <w:color w:val="auto"/>
              </w:rPr>
            </w:pPr>
            <w:r>
              <w:rPr>
                <w:rFonts w:ascii="Arial" w:cs="Arial" w:eastAsia="Arial" w:hAnsi="Arial"/>
                <w:sz w:val="18"/>
                <w:szCs w:val="18"/>
                <w:color w:val="0000FF"/>
                <w:w w:val="86"/>
              </w:rPr>
              <w:t>Consolidated Statements of Comprehensive Loss for the three and six months ended June 30, 2023 and 2022</w:t>
            </w: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w w:val="87"/>
              </w:rPr>
              <w:t>Consolidated Statements of Equity for the three and six months ended June 30, 2023 and 2022</w:t>
            </w:r>
          </w:p>
        </w:tc>
        <w:tc>
          <w:tcPr>
            <w:tcW w:w="1000" w:type="dxa"/>
            <w:vAlign w:val="bottom"/>
            <w:gridSpan w:val="2"/>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60" w:type="dxa"/>
            <w:vAlign w:val="bottom"/>
            <w:gridSpan w:val="12"/>
          </w:tcPr>
          <w:p>
            <w:pPr>
              <w:spacing w:after="0"/>
              <w:rPr>
                <w:sz w:val="20"/>
                <w:szCs w:val="20"/>
                <w:color w:val="auto"/>
              </w:rPr>
            </w:pPr>
            <w:r>
              <w:rPr>
                <w:rFonts w:ascii="Arial" w:cs="Arial" w:eastAsia="Arial" w:hAnsi="Arial"/>
                <w:sz w:val="18"/>
                <w:szCs w:val="18"/>
                <w:color w:val="0000FF"/>
                <w:w w:val="86"/>
              </w:rPr>
              <w:t>Consolidated Statements of Cash Flows for the six months ended June 30, 2023 and 2022</w:t>
            </w:r>
          </w:p>
        </w:tc>
        <w:tc>
          <w:tcPr>
            <w:tcW w:w="36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9"/>
        </w:trPr>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0000FF"/>
                <w:w w:val="86"/>
              </w:rPr>
              <w:t>Notes to Consolidated Financial Statements</w:t>
            </w:r>
          </w:p>
        </w:tc>
        <w:tc>
          <w:tcPr>
            <w:tcW w:w="3200" w:type="dxa"/>
            <w:vAlign w:val="bottom"/>
            <w:gridSpan w:val="4"/>
          </w:tcPr>
          <w:p>
            <w:pPr>
              <w:spacing w:after="0"/>
              <w:rPr>
                <w:sz w:val="23"/>
                <w:szCs w:val="23"/>
                <w:color w:val="auto"/>
              </w:rPr>
            </w:pPr>
          </w:p>
        </w:tc>
        <w:tc>
          <w:tcPr>
            <w:tcW w:w="1360" w:type="dxa"/>
            <w:vAlign w:val="bottom"/>
            <w:gridSpan w:val="3"/>
          </w:tcPr>
          <w:p>
            <w:pPr>
              <w:spacing w:after="0"/>
              <w:rPr>
                <w:sz w:val="23"/>
                <w:szCs w:val="23"/>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10</w:t>
            </w:r>
          </w:p>
        </w:tc>
      </w:tr>
      <w:tr>
        <w:trPr>
          <w:trHeight w:val="20"/>
        </w:trPr>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0000FF"/>
                <w:w w:val="87"/>
              </w:rPr>
              <w:t>Item 2.</w:t>
            </w:r>
          </w:p>
        </w:tc>
        <w:tc>
          <w:tcPr>
            <w:tcW w:w="560" w:type="dxa"/>
            <w:vAlign w:val="bottom"/>
            <w:gridSpan w:val="3"/>
          </w:tcPr>
          <w:p>
            <w:pPr>
              <w:spacing w:after="0"/>
              <w:rPr>
                <w:sz w:val="22"/>
                <w:szCs w:val="22"/>
                <w:color w:val="auto"/>
              </w:rPr>
            </w:pPr>
          </w:p>
        </w:tc>
        <w:tc>
          <w:tcPr>
            <w:tcW w:w="6260" w:type="dxa"/>
            <w:vAlign w:val="bottom"/>
            <w:gridSpan w:val="12"/>
          </w:tcPr>
          <w:p>
            <w:pPr>
              <w:spacing w:after="0"/>
              <w:rPr>
                <w:sz w:val="20"/>
                <w:szCs w:val="20"/>
                <w:color w:val="auto"/>
              </w:rPr>
            </w:pPr>
            <w:r>
              <w:rPr>
                <w:rFonts w:ascii="Arial" w:cs="Arial" w:eastAsia="Arial" w:hAnsi="Arial"/>
                <w:sz w:val="18"/>
                <w:szCs w:val="18"/>
                <w:color w:val="0000FF"/>
                <w:w w:val="87"/>
              </w:rPr>
              <w:t>Management's Discussion and Analysis of Financial Condition and Results of Operations</w:t>
            </w:r>
          </w:p>
        </w:tc>
        <w:tc>
          <w:tcPr>
            <w:tcW w:w="1360" w:type="dxa"/>
            <w:vAlign w:val="bottom"/>
            <w:gridSpan w:val="3"/>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28</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Item 3.</w:t>
            </w:r>
          </w:p>
        </w:tc>
        <w:tc>
          <w:tcPr>
            <w:tcW w:w="120" w:type="dxa"/>
            <w:vAlign w:val="bottom"/>
            <w:tcBorders>
              <w:bottom w:val="single" w:sz="8" w:color="0000FF"/>
            </w:tcBorders>
          </w:tcPr>
          <w:p>
            <w:pPr>
              <w:spacing w:after="0"/>
              <w:rPr>
                <w:sz w:val="22"/>
                <w:szCs w:val="22"/>
                <w:color w:val="auto"/>
              </w:rPr>
            </w:pPr>
          </w:p>
        </w:tc>
        <w:tc>
          <w:tcPr>
            <w:tcW w:w="440" w:type="dxa"/>
            <w:vAlign w:val="bottom"/>
            <w:gridSpan w:val="2"/>
          </w:tcPr>
          <w:p>
            <w:pPr>
              <w:spacing w:after="0"/>
              <w:rPr>
                <w:sz w:val="22"/>
                <w:szCs w:val="22"/>
                <w:color w:val="auto"/>
              </w:rPr>
            </w:pPr>
          </w:p>
        </w:tc>
        <w:tc>
          <w:tcPr>
            <w:tcW w:w="42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Quantitative and Qualitative Disclosures About Market Risk</w:t>
            </w:r>
          </w:p>
        </w:tc>
        <w:tc>
          <w:tcPr>
            <w:tcW w:w="2020" w:type="dxa"/>
            <w:vAlign w:val="bottom"/>
            <w:gridSpan w:val="2"/>
          </w:tcPr>
          <w:p>
            <w:pPr>
              <w:spacing w:after="0"/>
              <w:rPr>
                <w:sz w:val="22"/>
                <w:szCs w:val="22"/>
                <w:color w:val="auto"/>
              </w:rPr>
            </w:pPr>
          </w:p>
        </w:tc>
        <w:tc>
          <w:tcPr>
            <w:tcW w:w="1360" w:type="dxa"/>
            <w:vAlign w:val="bottom"/>
            <w:gridSpan w:val="3"/>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42</w:t>
            </w:r>
          </w:p>
        </w:tc>
      </w:tr>
      <w:tr>
        <w:trPr>
          <w:trHeight w:val="269"/>
        </w:trPr>
        <w:tc>
          <w:tcPr>
            <w:tcW w:w="500" w:type="dxa"/>
            <w:vAlign w:val="bottom"/>
          </w:tcPr>
          <w:p>
            <w:pPr>
              <w:spacing w:after="0"/>
              <w:rPr>
                <w:sz w:val="20"/>
                <w:szCs w:val="20"/>
                <w:color w:val="auto"/>
              </w:rPr>
            </w:pPr>
            <w:r>
              <w:rPr>
                <w:rFonts w:ascii="Arial" w:cs="Arial" w:eastAsia="Arial" w:hAnsi="Arial"/>
                <w:sz w:val="18"/>
                <w:szCs w:val="18"/>
                <w:color w:val="0000FF"/>
                <w:w w:val="87"/>
              </w:rPr>
              <w:t>Item 4.</w:t>
            </w:r>
          </w:p>
        </w:tc>
        <w:tc>
          <w:tcPr>
            <w:tcW w:w="560" w:type="dxa"/>
            <w:vAlign w:val="bottom"/>
            <w:gridSpan w:val="3"/>
          </w:tcPr>
          <w:p>
            <w:pPr>
              <w:spacing w:after="0"/>
              <w:rPr>
                <w:sz w:val="23"/>
                <w:szCs w:val="23"/>
                <w:color w:val="auto"/>
              </w:rPr>
            </w:pPr>
          </w:p>
        </w:tc>
        <w:tc>
          <w:tcPr>
            <w:tcW w:w="1720" w:type="dxa"/>
            <w:vAlign w:val="bottom"/>
            <w:gridSpan w:val="5"/>
          </w:tcPr>
          <w:p>
            <w:pPr>
              <w:spacing w:after="0"/>
              <w:rPr>
                <w:sz w:val="20"/>
                <w:szCs w:val="20"/>
                <w:color w:val="auto"/>
              </w:rPr>
            </w:pPr>
            <w:r>
              <w:rPr>
                <w:rFonts w:ascii="Arial" w:cs="Arial" w:eastAsia="Arial" w:hAnsi="Arial"/>
                <w:sz w:val="18"/>
                <w:szCs w:val="18"/>
                <w:color w:val="0000FF"/>
                <w:w w:val="85"/>
              </w:rPr>
              <w:t>Controls and Procedures</w:t>
            </w:r>
          </w:p>
        </w:tc>
        <w:tc>
          <w:tcPr>
            <w:tcW w:w="5900" w:type="dxa"/>
            <w:vAlign w:val="bottom"/>
            <w:gridSpan w:val="10"/>
          </w:tcPr>
          <w:p>
            <w:pPr>
              <w:spacing w:after="0"/>
              <w:rPr>
                <w:sz w:val="23"/>
                <w:szCs w:val="23"/>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5"/>
        </w:trPr>
        <w:tc>
          <w:tcPr>
            <w:tcW w:w="106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762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1.</w:t>
            </w:r>
          </w:p>
        </w:tc>
        <w:tc>
          <w:tcPr>
            <w:tcW w:w="440" w:type="dxa"/>
            <w:vAlign w:val="bottom"/>
            <w:gridSpan w:val="2"/>
          </w:tcPr>
          <w:p>
            <w:pPr>
              <w:spacing w:after="0"/>
              <w:rPr>
                <w:sz w:val="20"/>
                <w:szCs w:val="20"/>
                <w:color w:val="auto"/>
              </w:rPr>
            </w:pPr>
          </w:p>
        </w:tc>
        <w:tc>
          <w:tcPr>
            <w:tcW w:w="13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Legal Proceedings</w:t>
            </w:r>
          </w:p>
        </w:tc>
        <w:tc>
          <w:tcPr>
            <w:tcW w:w="6320" w:type="dxa"/>
            <w:vAlign w:val="bottom"/>
            <w:gridSpan w:val="11"/>
          </w:tcPr>
          <w:p>
            <w:pPr>
              <w:spacing w:after="0"/>
              <w:rPr>
                <w:sz w:val="20"/>
                <w:szCs w:val="20"/>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43</w:t>
            </w:r>
          </w:p>
        </w:tc>
      </w:tr>
      <w:tr>
        <w:trPr>
          <w:trHeight w:val="269"/>
        </w:trPr>
        <w:tc>
          <w:tcPr>
            <w:tcW w:w="106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7620" w:type="dxa"/>
            <w:vAlign w:val="bottom"/>
            <w:gridSpan w:val="15"/>
          </w:tcPr>
          <w:p>
            <w:pPr>
              <w:spacing w:after="0"/>
              <w:rPr>
                <w:sz w:val="20"/>
                <w:szCs w:val="20"/>
                <w:color w:val="auto"/>
              </w:rPr>
            </w:pPr>
            <w:r>
              <w:rPr>
                <w:rFonts w:ascii="Arial" w:cs="Arial" w:eastAsia="Arial" w:hAnsi="Arial"/>
                <w:sz w:val="18"/>
                <w:szCs w:val="18"/>
                <w:color w:val="0000FF"/>
              </w:rPr>
              <w:t>Risk Factors</w:t>
            </w: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43</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0000FF"/>
                <w:w w:val="87"/>
              </w:rPr>
              <w:t>Item 2.</w:t>
            </w:r>
          </w:p>
        </w:tc>
        <w:tc>
          <w:tcPr>
            <w:tcW w:w="12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762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43</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0000FF"/>
                <w:w w:val="87"/>
              </w:rPr>
              <w:t>Item 3.</w:t>
            </w:r>
          </w:p>
        </w:tc>
        <w:tc>
          <w:tcPr>
            <w:tcW w:w="560" w:type="dxa"/>
            <w:vAlign w:val="bottom"/>
            <w:gridSpan w:val="3"/>
          </w:tcPr>
          <w:p>
            <w:pPr>
              <w:spacing w:after="0"/>
              <w:rPr>
                <w:sz w:val="22"/>
                <w:szCs w:val="22"/>
                <w:color w:val="auto"/>
              </w:rPr>
            </w:pPr>
          </w:p>
        </w:tc>
        <w:tc>
          <w:tcPr>
            <w:tcW w:w="2260" w:type="dxa"/>
            <w:vAlign w:val="bottom"/>
            <w:gridSpan w:val="6"/>
          </w:tcPr>
          <w:p>
            <w:pPr>
              <w:spacing w:after="0"/>
              <w:rPr>
                <w:sz w:val="20"/>
                <w:szCs w:val="20"/>
                <w:color w:val="auto"/>
              </w:rPr>
            </w:pPr>
            <w:r>
              <w:rPr>
                <w:rFonts w:ascii="Arial" w:cs="Arial" w:eastAsia="Arial" w:hAnsi="Arial"/>
                <w:sz w:val="18"/>
                <w:szCs w:val="18"/>
                <w:color w:val="0000FF"/>
                <w:w w:val="87"/>
              </w:rPr>
              <w:t>Defaults Upon Senior Securities</w:t>
            </w:r>
          </w:p>
        </w:tc>
        <w:tc>
          <w:tcPr>
            <w:tcW w:w="1960" w:type="dxa"/>
            <w:vAlign w:val="bottom"/>
            <w:gridSpan w:val="3"/>
          </w:tcPr>
          <w:p>
            <w:pPr>
              <w:spacing w:after="0"/>
              <w:rPr>
                <w:sz w:val="22"/>
                <w:szCs w:val="22"/>
                <w:color w:val="auto"/>
              </w:rPr>
            </w:pPr>
          </w:p>
        </w:tc>
        <w:tc>
          <w:tcPr>
            <w:tcW w:w="3400" w:type="dxa"/>
            <w:vAlign w:val="bottom"/>
            <w:gridSpan w:val="6"/>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69"/>
        </w:trPr>
        <w:tc>
          <w:tcPr>
            <w:tcW w:w="500" w:type="dxa"/>
            <w:vAlign w:val="bottom"/>
          </w:tcPr>
          <w:p>
            <w:pPr>
              <w:spacing w:after="0"/>
              <w:rPr>
                <w:sz w:val="20"/>
                <w:szCs w:val="20"/>
                <w:color w:val="auto"/>
              </w:rPr>
            </w:pPr>
            <w:r>
              <w:rPr>
                <w:rFonts w:ascii="Arial" w:cs="Arial" w:eastAsia="Arial" w:hAnsi="Arial"/>
                <w:sz w:val="18"/>
                <w:szCs w:val="18"/>
                <w:color w:val="0000FF"/>
                <w:w w:val="87"/>
              </w:rPr>
              <w:t>Item 4.</w:t>
            </w:r>
          </w:p>
        </w:tc>
        <w:tc>
          <w:tcPr>
            <w:tcW w:w="560" w:type="dxa"/>
            <w:vAlign w:val="bottom"/>
            <w:gridSpan w:val="3"/>
          </w:tcPr>
          <w:p>
            <w:pPr>
              <w:spacing w:after="0"/>
              <w:rPr>
                <w:sz w:val="23"/>
                <w:szCs w:val="23"/>
                <w:color w:val="auto"/>
              </w:rPr>
            </w:pPr>
          </w:p>
        </w:tc>
        <w:tc>
          <w:tcPr>
            <w:tcW w:w="1720" w:type="dxa"/>
            <w:vAlign w:val="bottom"/>
            <w:gridSpan w:val="5"/>
          </w:tcPr>
          <w:p>
            <w:pPr>
              <w:spacing w:after="0"/>
              <w:rPr>
                <w:sz w:val="20"/>
                <w:szCs w:val="20"/>
                <w:color w:val="auto"/>
              </w:rPr>
            </w:pPr>
            <w:r>
              <w:rPr>
                <w:rFonts w:ascii="Arial" w:cs="Arial" w:eastAsia="Arial" w:hAnsi="Arial"/>
                <w:sz w:val="18"/>
                <w:szCs w:val="18"/>
                <w:color w:val="0000FF"/>
                <w:w w:val="88"/>
              </w:rPr>
              <w:t>Mine Safety Disclosures</w:t>
            </w:r>
          </w:p>
        </w:tc>
        <w:tc>
          <w:tcPr>
            <w:tcW w:w="540" w:type="dxa"/>
            <w:vAlign w:val="bottom"/>
          </w:tcPr>
          <w:p>
            <w:pPr>
              <w:spacing w:after="0"/>
              <w:rPr>
                <w:sz w:val="23"/>
                <w:szCs w:val="23"/>
                <w:color w:val="auto"/>
              </w:rPr>
            </w:pPr>
          </w:p>
        </w:tc>
        <w:tc>
          <w:tcPr>
            <w:tcW w:w="5360" w:type="dxa"/>
            <w:vAlign w:val="bottom"/>
            <w:gridSpan w:val="9"/>
          </w:tcPr>
          <w:p>
            <w:pPr>
              <w:spacing w:after="0"/>
              <w:rPr>
                <w:sz w:val="23"/>
                <w:szCs w:val="23"/>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0000FF"/>
                <w:w w:val="87"/>
              </w:rPr>
              <w:t>Item 5.</w:t>
            </w:r>
          </w:p>
        </w:tc>
        <w:tc>
          <w:tcPr>
            <w:tcW w:w="560" w:type="dxa"/>
            <w:vAlign w:val="bottom"/>
            <w:gridSpan w:val="3"/>
          </w:tcPr>
          <w:p>
            <w:pPr>
              <w:spacing w:after="0"/>
              <w:rPr>
                <w:sz w:val="22"/>
                <w:szCs w:val="22"/>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w w:val="89"/>
              </w:rPr>
              <w:t>Other Information</w:t>
            </w:r>
          </w:p>
        </w:tc>
        <w:tc>
          <w:tcPr>
            <w:tcW w:w="440" w:type="dxa"/>
            <w:vAlign w:val="bottom"/>
            <w:gridSpan w:val="2"/>
          </w:tcPr>
          <w:p>
            <w:pPr>
              <w:spacing w:after="0"/>
              <w:rPr>
                <w:sz w:val="22"/>
                <w:szCs w:val="22"/>
                <w:color w:val="auto"/>
              </w:rPr>
            </w:pPr>
          </w:p>
        </w:tc>
        <w:tc>
          <w:tcPr>
            <w:tcW w:w="5900" w:type="dxa"/>
            <w:vAlign w:val="bottom"/>
            <w:gridSpan w:val="10"/>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340" w:type="dxa"/>
            <w:vAlign w:val="bottom"/>
            <w:gridSpan w:val="1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0000FF"/>
                <w:w w:val="87"/>
              </w:rPr>
              <w:t>Item 6.</w:t>
            </w:r>
          </w:p>
        </w:tc>
        <w:tc>
          <w:tcPr>
            <w:tcW w:w="560" w:type="dxa"/>
            <w:vAlign w:val="bottom"/>
            <w:gridSpan w:val="3"/>
          </w:tcPr>
          <w:p>
            <w:pPr>
              <w:spacing w:after="0"/>
              <w:rPr>
                <w:sz w:val="22"/>
                <w:szCs w:val="22"/>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88"/>
              </w:rPr>
              <w:t>Exhibits</w:t>
            </w:r>
          </w:p>
        </w:tc>
        <w:tc>
          <w:tcPr>
            <w:tcW w:w="700" w:type="dxa"/>
            <w:vAlign w:val="bottom"/>
            <w:gridSpan w:val="2"/>
          </w:tcPr>
          <w:p>
            <w:pPr>
              <w:spacing w:after="0"/>
              <w:rPr>
                <w:sz w:val="22"/>
                <w:szCs w:val="22"/>
                <w:color w:val="auto"/>
              </w:rPr>
            </w:pPr>
          </w:p>
        </w:tc>
        <w:tc>
          <w:tcPr>
            <w:tcW w:w="6340" w:type="dxa"/>
            <w:vAlign w:val="bottom"/>
            <w:gridSpan w:val="12"/>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45</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6"/>
        </w:trPr>
        <w:tc>
          <w:tcPr>
            <w:tcW w:w="1060" w:type="dxa"/>
            <w:vAlign w:val="bottom"/>
            <w:gridSpan w:val="4"/>
          </w:tcPr>
          <w:p>
            <w:pPr>
              <w:spacing w:after="0"/>
              <w:rPr>
                <w:sz w:val="20"/>
                <w:szCs w:val="20"/>
                <w:color w:val="auto"/>
              </w:rPr>
            </w:pPr>
            <w:r>
              <w:rPr>
                <w:rFonts w:ascii="Arial" w:cs="Arial" w:eastAsia="Arial" w:hAnsi="Arial"/>
                <w:sz w:val="18"/>
                <w:szCs w:val="18"/>
                <w:b w:val="1"/>
                <w:bCs w:val="1"/>
                <w:color w:val="0000FF"/>
              </w:rPr>
              <w:t>Signature</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0000FF"/>
              </w:rPr>
              <w:t>47</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64135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3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6,139,939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6,127,790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100,320</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92,338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80,819</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and other receivables, net</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183,593</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126,606</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247,424</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1,034,181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1,224,288</w:t>
            </w:r>
          </w:p>
        </w:tc>
        <w:tc>
          <w:tcPr>
            <w:tcW w:w="0" w:type="dxa"/>
            <w:vAlign w:val="bottom"/>
          </w:tcPr>
          <w:p>
            <w:pPr>
              <w:spacing w:after="0"/>
              <w:rPr>
                <w:sz w:val="1"/>
                <w:szCs w:val="1"/>
                <w:color w:val="auto"/>
              </w:rPr>
            </w:pPr>
          </w:p>
        </w:tc>
      </w:tr>
      <w:tr>
        <w:trPr>
          <w:trHeight w:val="217"/>
        </w:trPr>
        <w:tc>
          <w:tcPr>
            <w:tcW w:w="822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7,894,586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8,094,139</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4,174,344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4,240,596</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and other notes payable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63,107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310,943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318,745</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arrangement obligation</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143,221</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5,085,549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5,144,790</w:t>
            </w:r>
          </w:p>
        </w:tc>
        <w:tc>
          <w:tcPr>
            <w:tcW w:w="0" w:type="dxa"/>
            <w:vAlign w:val="bottom"/>
          </w:tcPr>
          <w:p>
            <w:pPr>
              <w:spacing w:after="0"/>
              <w:rPr>
                <w:sz w:val="1"/>
                <w:szCs w:val="1"/>
                <w:color w:val="auto"/>
              </w:rPr>
            </w:pPr>
          </w:p>
        </w:tc>
      </w:tr>
      <w:tr>
        <w:trPr>
          <w:trHeight w:val="217"/>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220" w:type="dxa"/>
            <w:vAlign w:val="bottom"/>
            <w:shd w:val="clear" w:color="auto" w:fill="CCEEFF"/>
          </w:tcPr>
          <w:p>
            <w:pPr>
              <w:ind w:left="320"/>
              <w:spacing w:after="0" w:line="178" w:lineRule="exact"/>
              <w:rPr>
                <w:sz w:val="20"/>
                <w:szCs w:val="20"/>
                <w:color w:val="auto"/>
              </w:rPr>
            </w:pPr>
            <w:r>
              <w:rPr>
                <w:rFonts w:ascii="Arial" w:cs="Arial" w:eastAsia="Arial" w:hAnsi="Arial"/>
                <w:sz w:val="18"/>
                <w:szCs w:val="18"/>
                <w:color w:val="auto"/>
                <w:w w:val="88"/>
              </w:rPr>
              <w:t>Common stock, $0.01 par value, 500,000,000 shares authorized at June 30, 2023 and December 31, 2022, and</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320"/>
              <w:spacing w:after="0" w:line="171" w:lineRule="exact"/>
              <w:rPr>
                <w:sz w:val="20"/>
                <w:szCs w:val="20"/>
                <w:color w:val="auto"/>
              </w:rPr>
            </w:pPr>
            <w:r>
              <w:rPr>
                <w:rFonts w:ascii="Arial" w:cs="Arial" w:eastAsia="Arial" w:hAnsi="Arial"/>
                <w:sz w:val="18"/>
                <w:szCs w:val="18"/>
                <w:color w:val="auto"/>
                <w:w w:val="94"/>
              </w:rPr>
              <w:t>215,617,797 and 215,241,129 shares issued and outstanding at June 30, 2023 and December 31, 2022,</w:t>
            </w:r>
          </w:p>
        </w:tc>
        <w:tc>
          <w:tcPr>
            <w:tcW w:w="3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5,518,237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5,506,084</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(2,643,094)</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2,731,396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2,865,773</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2,949,349</w:t>
            </w:r>
          </w:p>
        </w:tc>
        <w:tc>
          <w:tcPr>
            <w:tcW w:w="0" w:type="dxa"/>
            <w:vAlign w:val="bottom"/>
          </w:tcPr>
          <w:p>
            <w:pPr>
              <w:spacing w:after="0"/>
              <w:rPr>
                <w:sz w:val="1"/>
                <w:szCs w:val="1"/>
                <w:color w:val="auto"/>
              </w:rPr>
            </w:pPr>
          </w:p>
        </w:tc>
      </w:tr>
      <w:tr>
        <w:trPr>
          <w:trHeight w:val="217"/>
        </w:trPr>
        <w:tc>
          <w:tcPr>
            <w:tcW w:w="822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7,894,586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8,094,139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1"/>
              </w:rPr>
              <w:t>For the Three Months 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89"/>
              </w:rPr>
              <w:t>For the Six Months Ended June</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23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00" w:type="dxa"/>
            <w:vAlign w:val="bottom"/>
          </w:tcPr>
          <w:p>
            <w:pPr>
              <w:ind w:left="140"/>
              <w:spacing w:after="0"/>
              <w:rPr>
                <w:sz w:val="20"/>
                <w:szCs w:val="20"/>
                <w:color w:val="auto"/>
              </w:rPr>
            </w:pPr>
            <w:r>
              <w:rPr>
                <w:rFonts w:ascii="Arial" w:cs="Arial" w:eastAsia="Arial" w:hAnsi="Arial"/>
                <w:sz w:val="14"/>
                <w:szCs w:val="14"/>
                <w:color w:val="auto"/>
              </w:rPr>
              <w:t>Leasing revenue</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192,653</w:t>
            </w:r>
          </w:p>
        </w:tc>
        <w:tc>
          <w:tcPr>
            <w:tcW w:w="32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188,590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391,698</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392,002</w:t>
            </w:r>
          </w:p>
        </w:tc>
        <w:tc>
          <w:tcPr>
            <w:tcW w:w="0" w:type="dxa"/>
            <w:vAlign w:val="bottom"/>
          </w:tcPr>
          <w:p>
            <w:pPr>
              <w:spacing w:after="0"/>
              <w:rPr>
                <w:sz w:val="1"/>
                <w:szCs w:val="1"/>
                <w:color w:val="auto"/>
              </w:rPr>
            </w:pPr>
          </w:p>
        </w:tc>
      </w:tr>
      <w:tr>
        <w:trPr>
          <w:trHeight w:val="200"/>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11,686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14,408</w:t>
            </w:r>
          </w:p>
        </w:tc>
        <w:tc>
          <w:tcPr>
            <w:tcW w:w="0" w:type="dxa"/>
            <w:vAlign w:val="bottom"/>
          </w:tcPr>
          <w:p>
            <w:pPr>
              <w:spacing w:after="0"/>
              <w:rPr>
                <w:sz w:val="1"/>
                <w:szCs w:val="1"/>
                <w:color w:val="auto"/>
              </w:rPr>
            </w:pPr>
          </w:p>
        </w:tc>
      </w:tr>
      <w:tr>
        <w:trPr>
          <w:trHeight w:val="190"/>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Management Companies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8,035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13,825</w:t>
            </w:r>
          </w:p>
        </w:tc>
        <w:tc>
          <w:tcPr>
            <w:tcW w:w="0" w:type="dxa"/>
            <w:vAlign w:val="bottom"/>
          </w:tcPr>
          <w:p>
            <w:pPr>
              <w:spacing w:after="0"/>
              <w:rPr>
                <w:sz w:val="1"/>
                <w:szCs w:val="1"/>
                <w:color w:val="auto"/>
              </w:rPr>
            </w:pPr>
          </w:p>
        </w:tc>
      </w:tr>
      <w:tr>
        <w:trPr>
          <w:trHeight w:val="181"/>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212,374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204,091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427,228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420,235</w:t>
            </w:r>
          </w:p>
        </w:tc>
        <w:tc>
          <w:tcPr>
            <w:tcW w:w="0" w:type="dxa"/>
            <w:vAlign w:val="bottom"/>
          </w:tcPr>
          <w:p>
            <w:pPr>
              <w:spacing w:after="0"/>
              <w:rPr>
                <w:sz w:val="1"/>
                <w:szCs w:val="1"/>
                <w:color w:val="auto"/>
              </w:rPr>
            </w:pPr>
          </w:p>
        </w:tc>
      </w:tr>
      <w:tr>
        <w:trPr>
          <w:trHeight w:val="184"/>
        </w:trPr>
        <w:tc>
          <w:tcPr>
            <w:tcW w:w="5700" w:type="dxa"/>
            <w:vAlign w:val="bottom"/>
          </w:tcPr>
          <w:p>
            <w:pPr>
              <w:ind w:left="20"/>
              <w:spacing w:after="0"/>
              <w:rPr>
                <w:sz w:val="20"/>
                <w:szCs w:val="20"/>
                <w:color w:val="auto"/>
              </w:rPr>
            </w:pPr>
            <w:r>
              <w:rPr>
                <w:rFonts w:ascii="Arial" w:cs="Arial" w:eastAsia="Arial" w:hAnsi="Arial"/>
                <w:sz w:val="14"/>
                <w:szCs w:val="14"/>
                <w:color w:val="auto"/>
              </w:rPr>
              <w:t>Expenses: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Shopping center and operating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69,948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142,648</w:t>
            </w:r>
          </w:p>
        </w:tc>
        <w:tc>
          <w:tcPr>
            <w:tcW w:w="0" w:type="dxa"/>
            <w:vAlign w:val="bottom"/>
          </w:tcPr>
          <w:p>
            <w:pPr>
              <w:spacing w:after="0"/>
              <w:rPr>
                <w:sz w:val="1"/>
                <w:szCs w:val="1"/>
                <w:color w:val="auto"/>
              </w:rPr>
            </w:pPr>
          </w:p>
        </w:tc>
      </w:tr>
      <w:tr>
        <w:trPr>
          <w:trHeight w:val="181"/>
        </w:trPr>
        <w:tc>
          <w:tcPr>
            <w:tcW w:w="5700" w:type="dxa"/>
            <w:vAlign w:val="bottom"/>
          </w:tcPr>
          <w:p>
            <w:pPr>
              <w:ind w:left="140"/>
              <w:spacing w:after="0"/>
              <w:rPr>
                <w:sz w:val="20"/>
                <w:szCs w:val="20"/>
                <w:color w:val="auto"/>
              </w:rPr>
            </w:pPr>
            <w:r>
              <w:rPr>
                <w:rFonts w:ascii="Arial" w:cs="Arial" w:eastAsia="Arial" w:hAnsi="Arial"/>
                <w:sz w:val="14"/>
                <w:szCs w:val="14"/>
                <w:color w:val="auto"/>
              </w:rPr>
              <w:t>Leasing expenses</w:t>
            </w: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8,447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15,759</w:t>
            </w:r>
          </w:p>
        </w:tc>
        <w:tc>
          <w:tcPr>
            <w:tcW w:w="0" w:type="dxa"/>
            <w:vAlign w:val="bottom"/>
          </w:tcPr>
          <w:p>
            <w:pPr>
              <w:spacing w:after="0"/>
              <w:rPr>
                <w:sz w:val="1"/>
                <w:szCs w:val="1"/>
                <w:color w:val="auto"/>
              </w:rPr>
            </w:pPr>
          </w:p>
        </w:tc>
      </w:tr>
      <w:tr>
        <w:trPr>
          <w:trHeight w:val="200"/>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Management Companies' operating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17,439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34,691</w:t>
            </w:r>
          </w:p>
        </w:tc>
        <w:tc>
          <w:tcPr>
            <w:tcW w:w="0" w:type="dxa"/>
            <w:vAlign w:val="bottom"/>
          </w:tcPr>
          <w:p>
            <w:pPr>
              <w:spacing w:after="0"/>
              <w:rPr>
                <w:sz w:val="1"/>
                <w:szCs w:val="1"/>
                <w:color w:val="auto"/>
              </w:rPr>
            </w:pPr>
          </w:p>
        </w:tc>
      </w:tr>
      <w:tr>
        <w:trPr>
          <w:trHeight w:val="188"/>
        </w:trPr>
        <w:tc>
          <w:tcPr>
            <w:tcW w:w="5700" w:type="dxa"/>
            <w:vAlign w:val="bottom"/>
          </w:tcPr>
          <w:p>
            <w:pPr>
              <w:ind w:left="140"/>
              <w:spacing w:after="0"/>
              <w:rPr>
                <w:sz w:val="20"/>
                <w:szCs w:val="20"/>
                <w:color w:val="auto"/>
              </w:rPr>
            </w:pPr>
            <w:r>
              <w:rPr>
                <w:rFonts w:ascii="Arial" w:cs="Arial" w:eastAsia="Arial" w:hAnsi="Arial"/>
                <w:sz w:val="14"/>
                <w:szCs w:val="14"/>
                <w:color w:val="auto"/>
              </w:rPr>
              <w:t>REIT general and administrative expenses</w:t>
            </w: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8,802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13,303</w:t>
            </w:r>
          </w:p>
        </w:tc>
        <w:tc>
          <w:tcPr>
            <w:tcW w:w="0" w:type="dxa"/>
            <w:vAlign w:val="bottom"/>
          </w:tcPr>
          <w:p>
            <w:pPr>
              <w:spacing w:after="0"/>
              <w:rPr>
                <w:sz w:val="1"/>
                <w:szCs w:val="1"/>
                <w:color w:val="auto"/>
              </w:rPr>
            </w:pPr>
          </w:p>
        </w:tc>
      </w:tr>
      <w:tr>
        <w:trPr>
          <w:trHeight w:val="191"/>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70,388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72,458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141,841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145,314</w:t>
            </w:r>
          </w:p>
        </w:tc>
        <w:tc>
          <w:tcPr>
            <w:tcW w:w="0" w:type="dxa"/>
            <w:vAlign w:val="bottom"/>
          </w:tcPr>
          <w:p>
            <w:pPr>
              <w:spacing w:after="0"/>
              <w:rPr>
                <w:sz w:val="1"/>
                <w:szCs w:val="1"/>
                <w:color w:val="auto"/>
              </w:rPr>
            </w:pPr>
          </w:p>
        </w:tc>
      </w:tr>
      <w:tr>
        <w:trPr>
          <w:trHeight w:val="186"/>
        </w:trPr>
        <w:tc>
          <w:tcPr>
            <w:tcW w:w="5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175,024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351,715</w:t>
            </w:r>
          </w:p>
        </w:tc>
        <w:tc>
          <w:tcPr>
            <w:tcW w:w="0" w:type="dxa"/>
            <w:vAlign w:val="bottom"/>
          </w:tcPr>
          <w:p>
            <w:pPr>
              <w:spacing w:after="0"/>
              <w:rPr>
                <w:sz w:val="1"/>
                <w:szCs w:val="1"/>
                <w:color w:val="auto"/>
              </w:rPr>
            </w:pPr>
          </w:p>
        </w:tc>
      </w:tr>
      <w:tr>
        <w:trPr>
          <w:trHeight w:val="184"/>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(income):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00" w:type="dxa"/>
            <w:vAlign w:val="bottom"/>
          </w:tcPr>
          <w:p>
            <w:pPr>
              <w:ind w:left="340"/>
              <w:spacing w:after="0"/>
              <w:rPr>
                <w:sz w:val="20"/>
                <w:szCs w:val="20"/>
                <w:color w:val="auto"/>
              </w:rPr>
            </w:pPr>
            <w:r>
              <w:rPr>
                <w:rFonts w:ascii="Arial" w:cs="Arial" w:eastAsia="Arial" w:hAnsi="Arial"/>
                <w:sz w:val="14"/>
                <w:szCs w:val="14"/>
                <w:color w:val="auto"/>
              </w:rPr>
              <w:t>Related parties</w:t>
            </w: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5,980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16,895</w:t>
            </w:r>
          </w:p>
        </w:tc>
        <w:tc>
          <w:tcPr>
            <w:tcW w:w="0" w:type="dxa"/>
            <w:vAlign w:val="bottom"/>
          </w:tcPr>
          <w:p>
            <w:pPr>
              <w:spacing w:after="0"/>
              <w:rPr>
                <w:sz w:val="1"/>
                <w:szCs w:val="1"/>
                <w:color w:val="auto"/>
              </w:rPr>
            </w:pPr>
          </w:p>
        </w:tc>
      </w:tr>
      <w:tr>
        <w:trPr>
          <w:trHeight w:val="201"/>
        </w:trPr>
        <w:tc>
          <w:tcPr>
            <w:tcW w:w="5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48,724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44,297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88,155</w:t>
            </w:r>
          </w:p>
        </w:tc>
        <w:tc>
          <w:tcPr>
            <w:tcW w:w="0" w:type="dxa"/>
            <w:vAlign w:val="bottom"/>
          </w:tcPr>
          <w:p>
            <w:pPr>
              <w:spacing w:after="0"/>
              <w:rPr>
                <w:sz w:val="1"/>
                <w:szCs w:val="1"/>
                <w:color w:val="auto"/>
              </w:rPr>
            </w:pPr>
          </w:p>
        </w:tc>
      </w:tr>
      <w:tr>
        <w:trPr>
          <w:trHeight w:val="180"/>
        </w:trPr>
        <w:tc>
          <w:tcPr>
            <w:tcW w:w="5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54,704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53,189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105,050</w:t>
            </w:r>
          </w:p>
        </w:tc>
        <w:tc>
          <w:tcPr>
            <w:tcW w:w="0" w:type="dxa"/>
            <w:vAlign w:val="bottom"/>
          </w:tcPr>
          <w:p>
            <w:pPr>
              <w:spacing w:after="0"/>
              <w:rPr>
                <w:sz w:val="1"/>
                <w:szCs w:val="1"/>
                <w:color w:val="auto"/>
              </w:rPr>
            </w:pPr>
          </w:p>
        </w:tc>
      </w:tr>
      <w:tr>
        <w:trPr>
          <w:trHeight w:val="193"/>
        </w:trPr>
        <w:tc>
          <w:tcPr>
            <w:tcW w:w="5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229,728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446,627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456,765</w:t>
            </w: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4"/>
                <w:szCs w:val="14"/>
                <w:color w:val="auto"/>
              </w:rPr>
              <w:t>Equity in (loss) income of unconsolidated joint ventures</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(68,770)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(22,744)</w:t>
            </w:r>
          </w:p>
        </w:tc>
        <w:tc>
          <w:tcPr>
            <w:tcW w:w="0" w:type="dxa"/>
            <w:vAlign w:val="bottom"/>
          </w:tcPr>
          <w:p>
            <w:pPr>
              <w:spacing w:after="0"/>
              <w:rPr>
                <w:sz w:val="1"/>
                <w:szCs w:val="1"/>
                <w:color w:val="auto"/>
              </w:rPr>
            </w:pPr>
          </w:p>
        </w:tc>
      </w:tr>
      <w:tr>
        <w:trPr>
          <w:trHeight w:val="200"/>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4"/>
                <w:szCs w:val="14"/>
                <w:color w:val="auto"/>
              </w:rPr>
              <w:t>Gain (loss) on sale or write down of assets, net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10,279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5,362</w:t>
            </w:r>
          </w:p>
        </w:tc>
        <w:tc>
          <w:tcPr>
            <w:tcW w:w="0" w:type="dxa"/>
            <w:vAlign w:val="bottom"/>
          </w:tcPr>
          <w:p>
            <w:pPr>
              <w:spacing w:after="0"/>
              <w:rPr>
                <w:sz w:val="1"/>
                <w:szCs w:val="1"/>
                <w:color w:val="auto"/>
              </w:rPr>
            </w:pPr>
          </w:p>
        </w:tc>
      </w:tr>
      <w:tr>
        <w:trPr>
          <w:trHeight w:val="193"/>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(55,041)</w:t>
            </w: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the Company</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(73,697)</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(52,566)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Loss per common share—attributable to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00" w:type="dxa"/>
            <w:vAlign w:val="bottom"/>
          </w:tcPr>
          <w:p>
            <w:pPr>
              <w:ind w:left="140"/>
              <w:spacing w:after="0"/>
              <w:rPr>
                <w:sz w:val="20"/>
                <w:szCs w:val="20"/>
                <w:color w:val="auto"/>
              </w:rPr>
            </w:pPr>
            <w:r>
              <w:rPr>
                <w:rFonts w:ascii="Arial" w:cs="Arial" w:eastAsia="Arial" w:hAnsi="Arial"/>
                <w:sz w:val="14"/>
                <w:szCs w:val="14"/>
                <w:color w:val="auto"/>
              </w:rPr>
              <w:t>Diluted</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700" w:type="dxa"/>
            <w:vAlign w:val="bottom"/>
          </w:tcPr>
          <w:p>
            <w:pPr>
              <w:ind w:left="14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215,457,000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214,990,000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215,375,000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214,905,000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215,457,000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214,990,000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215,375,000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214,905,000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40"/>
          </w:cols>
          <w:pgMar w:left="320" w:top="122" w:right="8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3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3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1"/>
              </w:rPr>
              <w:t>For the Three Months Ended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0"/>
              </w:rPr>
              <w:t>For the Six Months Ended June</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23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(55,041)</w:t>
            </w:r>
          </w:p>
        </w:tc>
        <w:tc>
          <w:tcPr>
            <w:tcW w:w="0" w:type="dxa"/>
            <w:vAlign w:val="bottom"/>
          </w:tcPr>
          <w:p>
            <w:pPr>
              <w:spacing w:after="0"/>
              <w:rPr>
                <w:sz w:val="1"/>
                <w:szCs w:val="1"/>
                <w:color w:val="auto"/>
              </w:rPr>
            </w:pPr>
          </w:p>
        </w:tc>
      </w:tr>
      <w:tr>
        <w:trPr>
          <w:trHeight w:val="181"/>
        </w:trPr>
        <w:tc>
          <w:tcPr>
            <w:tcW w:w="57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Interest rate cap agreements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1"/>
        </w:trPr>
        <w:tc>
          <w:tcPr>
            <w:tcW w:w="5700" w:type="dxa"/>
            <w:vAlign w:val="bottom"/>
          </w:tcPr>
          <w:p>
            <w:pPr>
              <w:spacing w:after="0"/>
              <w:rPr>
                <w:sz w:val="20"/>
                <w:szCs w:val="20"/>
                <w:color w:val="auto"/>
              </w:rPr>
            </w:pPr>
            <w:r>
              <w:rPr>
                <w:rFonts w:ascii="Arial" w:cs="Arial" w:eastAsia="Arial" w:hAnsi="Arial"/>
                <w:sz w:val="14"/>
                <w:szCs w:val="14"/>
                <w:color w:val="auto"/>
              </w:rPr>
              <w:t>Comprehensive loss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(72,130)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(55,001)</w:t>
            </w:r>
          </w:p>
        </w:tc>
        <w:tc>
          <w:tcPr>
            <w:tcW w:w="0" w:type="dxa"/>
            <w:vAlign w:val="bottom"/>
          </w:tcPr>
          <w:p>
            <w:pPr>
              <w:spacing w:after="0"/>
              <w:rPr>
                <w:sz w:val="1"/>
                <w:szCs w:val="1"/>
                <w:color w:val="auto"/>
              </w:rPr>
            </w:pPr>
          </w:p>
        </w:tc>
      </w:tr>
      <w:tr>
        <w:trPr>
          <w:trHeight w:val="191"/>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193"/>
        </w:trPr>
        <w:tc>
          <w:tcPr>
            <w:tcW w:w="5700" w:type="dxa"/>
            <w:vAlign w:val="bottom"/>
          </w:tcPr>
          <w:p>
            <w:pPr>
              <w:spacing w:after="0"/>
              <w:rPr>
                <w:sz w:val="20"/>
                <w:szCs w:val="20"/>
                <w:color w:val="auto"/>
              </w:rPr>
            </w:pPr>
            <w:r>
              <w:rPr>
                <w:rFonts w:ascii="Arial" w:cs="Arial" w:eastAsia="Arial" w:hAnsi="Arial"/>
                <w:sz w:val="14"/>
                <w:szCs w:val="14"/>
                <w:color w:val="auto"/>
              </w:rPr>
              <w:t>Comprehensive loss attributable to the Company</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(14,614)</w:t>
            </w:r>
          </w:p>
        </w:tc>
        <w:tc>
          <w:tcPr>
            <w:tcW w:w="36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(15,375)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(73,227)</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(52,526)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320" w:top="122" w:right="8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June 30, 2023 and 2022</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19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2"/>
                <w:szCs w:val="12"/>
                <w:b w:val="1"/>
                <w:bCs w:val="1"/>
                <w:color w:val="auto"/>
              </w:rPr>
              <w:t>Stockholders' Equity</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center"/>
              <w:ind w:right="80"/>
              <w:spacing w:after="0" w:line="118"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center"/>
              <w:ind w:right="100"/>
              <w:spacing w:after="0" w:line="118"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restart"/>
          </w:tcPr>
          <w:p>
            <w:pPr>
              <w:jc w:val="center"/>
              <w:ind w:right="80"/>
              <w:spacing w:after="0" w:line="118" w:lineRule="exact"/>
              <w:rPr>
                <w:sz w:val="20"/>
                <w:szCs w:val="20"/>
                <w:color w:val="auto"/>
              </w:rPr>
            </w:pPr>
            <w:r>
              <w:rPr>
                <w:rFonts w:ascii="Arial" w:cs="Arial" w:eastAsia="Arial" w:hAnsi="Arial"/>
                <w:sz w:val="12"/>
                <w:szCs w:val="12"/>
                <w:b w:val="1"/>
                <w:bCs w:val="1"/>
                <w:color w:val="auto"/>
                <w:w w:val="90"/>
              </w:rPr>
              <w:t>Total</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vMerge w:val="restart"/>
          </w:tcPr>
          <w:p>
            <w:pPr>
              <w:jc w:val="center"/>
              <w:ind w:right="99"/>
              <w:spacing w:after="0"/>
              <w:rPr>
                <w:sz w:val="20"/>
                <w:szCs w:val="20"/>
                <w:color w:val="auto"/>
              </w:rPr>
            </w:pPr>
            <w:r>
              <w:rPr>
                <w:rFonts w:ascii="Arial" w:cs="Arial" w:eastAsia="Arial" w:hAnsi="Arial"/>
                <w:sz w:val="12"/>
                <w:szCs w:val="12"/>
                <w:b w:val="1"/>
                <w:bCs w:val="1"/>
                <w:color w:val="auto"/>
                <w:w w:val="92"/>
              </w:rPr>
              <w:t>Par</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restart"/>
          </w:tcPr>
          <w:p>
            <w:pPr>
              <w:jc w:val="center"/>
              <w:ind w:right="79"/>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restart"/>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6"/>
        </w:trPr>
        <w:tc>
          <w:tcPr>
            <w:tcW w:w="1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60"/>
              <w:spacing w:after="0" w:line="126"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right="100"/>
              <w:spacing w:after="0" w:line="126"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80"/>
              <w:spacing w:after="0" w:line="126" w:lineRule="exact"/>
              <w:rPr>
                <w:sz w:val="20"/>
                <w:szCs w:val="20"/>
                <w:color w:val="auto"/>
              </w:rPr>
            </w:pPr>
            <w:r>
              <w:rPr>
                <w:rFonts w:ascii="Arial" w:cs="Arial" w:eastAsia="Arial" w:hAnsi="Arial"/>
                <w:sz w:val="12"/>
                <w:szCs w:val="12"/>
                <w:b w:val="1"/>
                <w:bCs w:val="1"/>
                <w:color w:val="auto"/>
                <w:w w:val="88"/>
              </w:rPr>
              <w:t>Stockholders'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0"/>
              </w:rPr>
              <w:t>Income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2"/>
              </w:rPr>
              <w:t>Equity</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Balance at April 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215,361,920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5,511,513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(2,738,525)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2,775,892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79,522</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2,855,414</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20"/>
                <w:szCs w:val="20"/>
                <w:color w:val="auto"/>
              </w:rPr>
            </w:pPr>
            <w:r>
              <w:rPr>
                <w:rFonts w:ascii="Arial" w:cs="Arial" w:eastAsia="Arial" w:hAnsi="Arial"/>
                <w:sz w:val="12"/>
                <w:szCs w:val="12"/>
                <w:color w:val="auto"/>
              </w:rPr>
              <w:t>Net (loss) income</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(14,964)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(14,964)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558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(14,406)</w:t>
            </w: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Interest rate cap agreements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18"/>
        </w:trPr>
        <w:tc>
          <w:tcPr>
            <w:tcW w:w="1900" w:type="dxa"/>
            <w:vAlign w:val="bottom"/>
          </w:tcPr>
          <w:p>
            <w:pPr>
              <w:spacing w:after="0" w:line="118" w:lineRule="exact"/>
              <w:rPr>
                <w:sz w:val="20"/>
                <w:szCs w:val="20"/>
                <w:color w:val="auto"/>
              </w:rPr>
            </w:pPr>
            <w:r>
              <w:rPr>
                <w:rFonts w:ascii="Arial" w:cs="Arial" w:eastAsia="Arial" w:hAnsi="Arial"/>
                <w:sz w:val="12"/>
                <w:szCs w:val="12"/>
                <w:color w:val="auto"/>
                <w:w w:val="95"/>
              </w:rPr>
              <w:t>Amortization of share and unit-based</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130,123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6,046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6,047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6,047</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20"/>
                <w:szCs w:val="20"/>
                <w:color w:val="auto"/>
              </w:rPr>
            </w:pPr>
            <w:r>
              <w:rPr>
                <w:rFonts w:ascii="Arial" w:cs="Arial" w:eastAsia="Arial" w:hAnsi="Arial"/>
                <w:sz w:val="12"/>
                <w:szCs w:val="12"/>
                <w:color w:val="auto"/>
              </w:rPr>
              <w:t>plans</w:t>
            </w: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Employee stock purchases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125,754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1,021</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Stock offerings, net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Distributions paid ($0.17 per share)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(36,608)</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(36,608)</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(36,608)</w:t>
            </w:r>
          </w:p>
        </w:tc>
        <w:tc>
          <w:tcPr>
            <w:tcW w:w="0" w:type="dxa"/>
            <w:vAlign w:val="bottom"/>
          </w:tcPr>
          <w:p>
            <w:pPr>
              <w:spacing w:after="0"/>
              <w:rPr>
                <w:sz w:val="1"/>
                <w:szCs w:val="1"/>
                <w:color w:val="auto"/>
              </w:rPr>
            </w:pPr>
          </w:p>
        </w:tc>
      </w:tr>
      <w:tr>
        <w:trPr>
          <w:trHeight w:val="118"/>
        </w:trPr>
        <w:tc>
          <w:tcPr>
            <w:tcW w:w="1900" w:type="dxa"/>
            <w:vAlign w:val="bottom"/>
          </w:tcPr>
          <w:p>
            <w:pPr>
              <w:spacing w:after="0" w:line="118" w:lineRule="exact"/>
              <w:rPr>
                <w:sz w:val="20"/>
                <w:szCs w:val="20"/>
                <w:color w:val="auto"/>
              </w:rPr>
            </w:pPr>
            <w:r>
              <w:rPr>
                <w:rFonts w:ascii="Arial" w:cs="Arial" w:eastAsia="Arial" w:hAnsi="Arial"/>
                <w:sz w:val="12"/>
                <w:szCs w:val="12"/>
                <w:color w:val="auto"/>
              </w:rPr>
              <w:t>Distributions to noncontrolling</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(2,725)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(2,725)</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interests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Adjustment of noncontrolling</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interests in Operating Partnership</w:t>
            </w: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20"/>
                <w:szCs w:val="20"/>
                <w:color w:val="auto"/>
              </w:rPr>
            </w:pPr>
            <w:r>
              <w:rPr>
                <w:rFonts w:ascii="Arial" w:cs="Arial" w:eastAsia="Arial" w:hAnsi="Arial"/>
                <w:sz w:val="12"/>
                <w:szCs w:val="12"/>
                <w:color w:val="auto"/>
              </w:rPr>
              <w:t>Balance at June 30, 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215,617,797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2,154</w:t>
            </w:r>
          </w:p>
        </w:tc>
        <w:tc>
          <w:tcPr>
            <w:tcW w:w="140" w:type="dxa"/>
            <w:vAlign w:val="bottom"/>
            <w:gridSpan w:val="2"/>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5,518,237</w:t>
            </w:r>
          </w:p>
        </w:tc>
        <w:tc>
          <w:tcPr>
            <w:tcW w:w="120" w:type="dxa"/>
            <w:vAlign w:val="bottom"/>
            <w:gridSpan w:val="2"/>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(2,790,097)</w:t>
            </w:r>
          </w:p>
        </w:tc>
        <w:tc>
          <w:tcPr>
            <w:tcW w:w="120" w:type="dxa"/>
            <w:vAlign w:val="bottom"/>
            <w:gridSpan w:val="2"/>
          </w:tcPr>
          <w:p>
            <w:pPr>
              <w:spacing w:after="0"/>
              <w:rPr>
                <w:sz w:val="15"/>
                <w:szCs w:val="15"/>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2,731,396</w:t>
            </w:r>
          </w:p>
        </w:tc>
        <w:tc>
          <w:tcPr>
            <w:tcW w:w="120" w:type="dxa"/>
            <w:vAlign w:val="bottom"/>
            <w:gridSpan w:val="2"/>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77,641</w:t>
            </w:r>
          </w:p>
        </w:tc>
        <w:tc>
          <w:tcPr>
            <w:tcW w:w="10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2,809,037</w:t>
            </w: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19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2"/>
                <w:szCs w:val="12"/>
                <w:b w:val="1"/>
                <w:bCs w:val="1"/>
                <w:color w:val="auto"/>
              </w:rPr>
              <w:t>Stockholders' Equity</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jc w:val="center"/>
              <w:ind w:right="80"/>
              <w:spacing w:after="0" w:line="53" w:lineRule="exact"/>
              <w:rPr>
                <w:sz w:val="20"/>
                <w:szCs w:val="20"/>
                <w:color w:val="auto"/>
              </w:rPr>
            </w:pPr>
            <w:r>
              <w:rPr>
                <w:rFonts w:ascii="Arial" w:cs="Arial" w:eastAsia="Arial" w:hAnsi="Arial"/>
                <w:sz w:val="6"/>
                <w:szCs w:val="6"/>
                <w:b w:val="1"/>
                <w:bCs w:val="1"/>
                <w:color w:val="auto"/>
              </w:rPr>
              <w:t>Additional</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jc w:val="center"/>
              <w:ind w:right="100"/>
              <w:spacing w:after="0" w:line="53"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jc w:val="center"/>
              <w:ind w:right="80"/>
              <w:spacing w:after="0" w:line="53" w:lineRule="exact"/>
              <w:rPr>
                <w:sz w:val="20"/>
                <w:szCs w:val="20"/>
                <w:color w:val="auto"/>
              </w:rPr>
            </w:pPr>
            <w:r>
              <w:rPr>
                <w:rFonts w:ascii="Arial" w:cs="Arial" w:eastAsia="Arial" w:hAnsi="Arial"/>
                <w:sz w:val="6"/>
                <w:szCs w:val="6"/>
                <w:b w:val="1"/>
                <w:bCs w:val="1"/>
                <w:color w:val="auto"/>
              </w:rPr>
              <w:t>Total</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1040" w:type="dxa"/>
            <w:vAlign w:val="bottom"/>
            <w:vMerge w:val="restart"/>
          </w:tcPr>
          <w:p>
            <w:pPr>
              <w:jc w:val="right"/>
              <w:ind w:right="279"/>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center"/>
              <w:ind w:right="119"/>
              <w:spacing w:after="0"/>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00"/>
              <w:spacing w:after="0"/>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79"/>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00"/>
              <w:spacing w:after="0"/>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60"/>
              <w:spacing w:after="0"/>
              <w:rPr>
                <w:sz w:val="20"/>
                <w:szCs w:val="20"/>
                <w:color w:val="auto"/>
              </w:rPr>
            </w:pPr>
            <w:r>
              <w:rPr>
                <w:rFonts w:ascii="Arial" w:cs="Arial" w:eastAsia="Arial" w:hAnsi="Arial"/>
                <w:sz w:val="12"/>
                <w:szCs w:val="12"/>
                <w:b w:val="1"/>
                <w:bCs w:val="1"/>
                <w:color w:val="auto"/>
                <w:w w:val="91"/>
              </w:rPr>
              <w:t>Stockholders'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79"/>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center"/>
              <w:ind w:right="99"/>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79"/>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00"/>
              <w:spacing w:after="0"/>
              <w:rPr>
                <w:sz w:val="20"/>
                <w:szCs w:val="20"/>
                <w:color w:val="auto"/>
              </w:rPr>
            </w:pPr>
            <w:r>
              <w:rPr>
                <w:rFonts w:ascii="Arial" w:cs="Arial" w:eastAsia="Arial" w:hAnsi="Arial"/>
                <w:sz w:val="12"/>
                <w:szCs w:val="12"/>
                <w:b w:val="1"/>
                <w:bCs w:val="1"/>
                <w:color w:val="auto"/>
                <w:w w:val="90"/>
              </w:rPr>
              <w:t>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60"/>
              <w:spacing w:after="0"/>
              <w:rPr>
                <w:sz w:val="20"/>
                <w:szCs w:val="20"/>
                <w:color w:val="auto"/>
              </w:rPr>
            </w:pPr>
            <w:r>
              <w:rPr>
                <w:rFonts w:ascii="Arial" w:cs="Arial" w:eastAsia="Arial" w:hAnsi="Arial"/>
                <w:sz w:val="12"/>
                <w:szCs w:val="12"/>
                <w:b w:val="1"/>
                <w:bCs w:val="1"/>
                <w:color w:val="auto"/>
                <w:w w:val="98"/>
              </w:rPr>
              <w:t>Equity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9"/>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11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April 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214,901,377</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2,148</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5,493,662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(2,513,179)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2,982,638</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120,866</w:t>
            </w:r>
          </w:p>
        </w:tc>
        <w:tc>
          <w:tcPr>
            <w:tcW w:w="12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3,103,504</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Net loss</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(15,384)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(15,384)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(17,687)</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 rate cap agreement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18"/>
        </w:trPr>
        <w:tc>
          <w:tcPr>
            <w:tcW w:w="1900" w:type="dxa"/>
            <w:vAlign w:val="bottom"/>
          </w:tcPr>
          <w:p>
            <w:pPr>
              <w:spacing w:after="0" w:line="118" w:lineRule="exact"/>
              <w:rPr>
                <w:sz w:val="20"/>
                <w:szCs w:val="20"/>
                <w:color w:val="auto"/>
              </w:rPr>
            </w:pPr>
            <w:r>
              <w:rPr>
                <w:rFonts w:ascii="Arial" w:cs="Arial" w:eastAsia="Arial" w:hAnsi="Arial"/>
                <w:sz w:val="12"/>
                <w:szCs w:val="12"/>
                <w:color w:val="auto"/>
                <w:w w:val="95"/>
              </w:rPr>
              <w:t>Amortization of share and unit-based</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80,472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5,383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5,384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5,384</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plans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Employee stock purchases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96,942</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959</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Stock offerings, net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Distributions paid ($0.15 per share)</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(32,230)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(32,230)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(32,230)</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2"/>
                <w:szCs w:val="12"/>
                <w:color w:val="auto"/>
              </w:rPr>
              <w:t>Distributions to noncontrolling</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00" w:type="dxa"/>
            <w:vAlign w:val="bottom"/>
          </w:tcPr>
          <w:p>
            <w:pPr>
              <w:spacing w:after="0"/>
              <w:rPr>
                <w:sz w:val="20"/>
                <w:szCs w:val="20"/>
                <w:color w:val="auto"/>
              </w:rPr>
            </w:pPr>
            <w:r>
              <w:rPr>
                <w:rFonts w:ascii="Arial" w:cs="Arial" w:eastAsia="Arial" w:hAnsi="Arial"/>
                <w:sz w:val="12"/>
                <w:szCs w:val="12"/>
                <w:color w:val="auto"/>
              </w:rPr>
              <w:t>interests</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(3,169)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(3,169)</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Conversion of noncontrolling</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34,551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2,078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2,078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(2,078)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interests to common shares</w:t>
            </w: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900" w:type="dxa"/>
            <w:vAlign w:val="bottom"/>
          </w:tcPr>
          <w:p>
            <w:pPr>
              <w:spacing w:after="0" w:line="118" w:lineRule="exact"/>
              <w:rPr>
                <w:sz w:val="20"/>
                <w:szCs w:val="20"/>
                <w:color w:val="auto"/>
              </w:rPr>
            </w:pPr>
            <w:r>
              <w:rPr>
                <w:rFonts w:ascii="Arial" w:cs="Arial" w:eastAsia="Arial" w:hAnsi="Arial"/>
                <w:sz w:val="12"/>
                <w:szCs w:val="12"/>
                <w:color w:val="auto"/>
              </w:rPr>
              <w:t>Redemption of noncontrolling</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177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177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(505)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interests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Adjustment of noncontrolling</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(2,108)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(2,108)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2,108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interests in Operating Partnership</w:t>
            </w: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20"/>
                <w:szCs w:val="20"/>
                <w:color w:val="auto"/>
              </w:rPr>
            </w:pPr>
            <w:r>
              <w:rPr>
                <w:rFonts w:ascii="Arial" w:cs="Arial" w:eastAsia="Arial" w:hAnsi="Arial"/>
                <w:sz w:val="12"/>
                <w:szCs w:val="12"/>
                <w:color w:val="auto"/>
              </w:rPr>
              <w:t>Balance at June 30, 2022</w:t>
            </w:r>
          </w:p>
        </w:tc>
        <w:tc>
          <w:tcPr>
            <w:tcW w:w="1040" w:type="dxa"/>
            <w:vAlign w:val="bottom"/>
          </w:tcPr>
          <w:p>
            <w:pPr>
              <w:jc w:val="right"/>
              <w:spacing w:after="0"/>
              <w:rPr>
                <w:sz w:val="20"/>
                <w:szCs w:val="20"/>
                <w:color w:val="auto"/>
              </w:rPr>
            </w:pPr>
            <w:r>
              <w:rPr>
                <w:rFonts w:ascii="Arial" w:cs="Arial" w:eastAsia="Arial" w:hAnsi="Arial"/>
                <w:sz w:val="12"/>
                <w:szCs w:val="12"/>
                <w:color w:val="auto"/>
              </w:rPr>
              <w:t>215,113,342</w:t>
            </w:r>
          </w:p>
        </w:tc>
        <w:tc>
          <w:tcPr>
            <w:tcW w:w="300" w:type="dxa"/>
            <w:vAlign w:val="bottom"/>
            <w:gridSpan w:val="2"/>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2,150</w:t>
            </w:r>
          </w:p>
        </w:tc>
        <w:tc>
          <w:tcPr>
            <w:tcW w:w="260" w:type="dxa"/>
            <w:vAlign w:val="bottom"/>
            <w:gridSpan w:val="3"/>
          </w:tcPr>
          <w:p>
            <w:pPr>
              <w:jc w:val="right"/>
              <w:ind w:right="9"/>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5,500,101</w:t>
            </w:r>
          </w:p>
        </w:tc>
        <w:tc>
          <w:tcPr>
            <w:tcW w:w="240" w:type="dxa"/>
            <w:vAlign w:val="bottom"/>
            <w:gridSpan w:val="3"/>
          </w:tcPr>
          <w:p>
            <w:pPr>
              <w:jc w:val="right"/>
              <w:ind w:right="9"/>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(2,560,793)</w:t>
            </w:r>
          </w:p>
        </w:tc>
        <w:tc>
          <w:tcPr>
            <w:tcW w:w="280" w:type="dxa"/>
            <w:vAlign w:val="bottom"/>
            <w:gridSpan w:val="3"/>
          </w:tcPr>
          <w:p>
            <w:pPr>
              <w:jc w:val="right"/>
              <w:ind w:right="19"/>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16</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2,941,474</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114,919</w:t>
            </w:r>
          </w:p>
        </w:tc>
        <w:tc>
          <w:tcPr>
            <w:tcW w:w="280" w:type="dxa"/>
            <w:vAlign w:val="bottom"/>
            <w:gridSpan w:val="3"/>
          </w:tcPr>
          <w:p>
            <w:pPr>
              <w:jc w:val="right"/>
              <w:ind w:right="49"/>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3,056,393</w:t>
            </w: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2023 and 2022</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59"/>
        </w:trPr>
        <w:tc>
          <w:tcPr>
            <w:tcW w:w="1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4"/>
          </w:tcPr>
          <w:p>
            <w:pPr>
              <w:jc w:val="right"/>
              <w:ind w:right="99"/>
              <w:spacing w:after="0"/>
              <w:rPr>
                <w:sz w:val="20"/>
                <w:szCs w:val="20"/>
                <w:color w:val="auto"/>
              </w:rPr>
            </w:pPr>
            <w:r>
              <w:rPr>
                <w:rFonts w:ascii="Arial" w:cs="Arial" w:eastAsia="Arial" w:hAnsi="Arial"/>
                <w:sz w:val="12"/>
                <w:szCs w:val="12"/>
                <w:b w:val="1"/>
                <w:bCs w:val="1"/>
                <w:color w:val="auto"/>
              </w:rPr>
              <w:t>Stockholders' Equity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134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Common Stock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00"/>
              <w:spacing w:after="0" w:line="133"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9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restart"/>
          </w:tcPr>
          <w:p>
            <w:pPr>
              <w:jc w:val="center"/>
              <w:ind w:right="80"/>
              <w:spacing w:after="0" w:line="124" w:lineRule="exact"/>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restart"/>
          </w:tcPr>
          <w:p>
            <w:pPr>
              <w:jc w:val="center"/>
              <w:ind w:right="100"/>
              <w:spacing w:after="0" w:line="124"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vMerge w:val="restart"/>
          </w:tcPr>
          <w:p>
            <w:pPr>
              <w:jc w:val="center"/>
              <w:ind w:right="80"/>
              <w:spacing w:after="0" w:line="124" w:lineRule="exact"/>
              <w:rPr>
                <w:sz w:val="20"/>
                <w:szCs w:val="20"/>
                <w:color w:val="auto"/>
              </w:rPr>
            </w:pPr>
            <w:r>
              <w:rPr>
                <w:rFonts w:ascii="Arial" w:cs="Arial" w:eastAsia="Arial" w:hAnsi="Arial"/>
                <w:sz w:val="12"/>
                <w:szCs w:val="12"/>
                <w:b w:val="1"/>
                <w:bCs w:val="1"/>
                <w:color w:val="auto"/>
                <w:w w:val="90"/>
              </w:rPr>
              <w:t>Total</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vMerge w:val="restart"/>
          </w:tcPr>
          <w:p>
            <w:pPr>
              <w:jc w:val="center"/>
              <w:ind w:right="99"/>
              <w:spacing w:after="0"/>
              <w:rPr>
                <w:sz w:val="20"/>
                <w:szCs w:val="20"/>
                <w:color w:val="auto"/>
              </w:rPr>
            </w:pPr>
            <w:r>
              <w:rPr>
                <w:rFonts w:ascii="Arial" w:cs="Arial" w:eastAsia="Arial" w:hAnsi="Arial"/>
                <w:sz w:val="12"/>
                <w:szCs w:val="12"/>
                <w:b w:val="1"/>
                <w:bCs w:val="1"/>
                <w:color w:val="auto"/>
                <w:w w:val="92"/>
              </w:rPr>
              <w:t>Par</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restart"/>
          </w:tcPr>
          <w:p>
            <w:pPr>
              <w:jc w:val="center"/>
              <w:ind w:right="79"/>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vMerge w:val="restart"/>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040" w:type="dxa"/>
            <w:vAlign w:val="bottom"/>
            <w:vMerge w:val="restart"/>
          </w:tcPr>
          <w:p>
            <w:pPr>
              <w:jc w:val="right"/>
              <w:ind w:right="279"/>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60"/>
              <w:spacing w:after="0" w:line="118"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right="100"/>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80"/>
              <w:spacing w:after="0" w:line="118" w:lineRule="exact"/>
              <w:rPr>
                <w:sz w:val="20"/>
                <w:szCs w:val="20"/>
                <w:color w:val="auto"/>
              </w:rPr>
            </w:pPr>
            <w:r>
              <w:rPr>
                <w:rFonts w:ascii="Arial" w:cs="Arial" w:eastAsia="Arial" w:hAnsi="Arial"/>
                <w:sz w:val="12"/>
                <w:szCs w:val="12"/>
                <w:b w:val="1"/>
                <w:bCs w:val="1"/>
                <w:color w:val="auto"/>
                <w:w w:val="88"/>
              </w:rPr>
              <w:t>Stockholders'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center"/>
              <w:ind w:right="99"/>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59"/>
              <w:spacing w:after="0"/>
              <w:rPr>
                <w:sz w:val="20"/>
                <w:szCs w:val="20"/>
                <w:color w:val="auto"/>
              </w:rPr>
            </w:pPr>
            <w:r>
              <w:rPr>
                <w:rFonts w:ascii="Arial" w:cs="Arial" w:eastAsia="Arial" w:hAnsi="Arial"/>
                <w:sz w:val="12"/>
                <w:szCs w:val="12"/>
                <w:b w:val="1"/>
                <w:bCs w:val="1"/>
                <w:color w:val="auto"/>
                <w:w w:val="98"/>
              </w:rPr>
              <w:t>Deficit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00"/>
              <w:spacing w:after="0"/>
              <w:rPr>
                <w:sz w:val="20"/>
                <w:szCs w:val="20"/>
                <w:color w:val="auto"/>
              </w:rPr>
            </w:pPr>
            <w:r>
              <w:rPr>
                <w:rFonts w:ascii="Arial" w:cs="Arial" w:eastAsia="Arial" w:hAnsi="Arial"/>
                <w:sz w:val="12"/>
                <w:szCs w:val="12"/>
                <w:b w:val="1"/>
                <w:bCs w:val="1"/>
                <w:color w:val="auto"/>
                <w:w w:val="90"/>
              </w:rPr>
              <w:t>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92"/>
              </w:rPr>
              <w:t>Equity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9"/>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11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5"/>
        </w:trPr>
        <w:tc>
          <w:tcPr>
            <w:tcW w:w="1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Balance at January 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215,241,129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5,506,084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(2,643,094)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2,865,773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2,949,349</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Net (loss) income</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(73,697)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(73,697)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(72,600)</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 rate cap 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0" w:type="dxa"/>
            <w:vAlign w:val="bottom"/>
          </w:tcPr>
          <w:p>
            <w:pPr>
              <w:spacing w:after="0"/>
              <w:rPr>
                <w:sz w:val="1"/>
                <w:szCs w:val="1"/>
                <w:color w:val="auto"/>
              </w:rPr>
            </w:pPr>
          </w:p>
        </w:tc>
      </w:tr>
      <w:tr>
        <w:trPr>
          <w:trHeight w:val="118"/>
        </w:trPr>
        <w:tc>
          <w:tcPr>
            <w:tcW w:w="1900" w:type="dxa"/>
            <w:vAlign w:val="bottom"/>
          </w:tcPr>
          <w:p>
            <w:pPr>
              <w:spacing w:after="0" w:line="118" w:lineRule="exact"/>
              <w:rPr>
                <w:sz w:val="20"/>
                <w:szCs w:val="20"/>
                <w:color w:val="auto"/>
              </w:rPr>
            </w:pPr>
            <w:r>
              <w:rPr>
                <w:rFonts w:ascii="Arial" w:cs="Arial" w:eastAsia="Arial" w:hAnsi="Arial"/>
                <w:sz w:val="12"/>
                <w:szCs w:val="12"/>
                <w:color w:val="auto"/>
                <w:w w:val="95"/>
              </w:rPr>
              <w:t>Amortization of share and unit-based</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250,914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12,017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12,019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12,019</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plans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Employee stock purchases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125,754</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1,020</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1,021</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1,021</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Stock offerings, net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Distributions paid ($0.34 per share)</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(73,306)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(73,306)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(73,306)</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2"/>
                <w:szCs w:val="12"/>
                <w:color w:val="auto"/>
              </w:rPr>
              <w:t>Distributions to noncontrolling</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00" w:type="dxa"/>
            <w:vAlign w:val="bottom"/>
          </w:tcPr>
          <w:p>
            <w:pPr>
              <w:spacing w:after="0"/>
              <w:rPr>
                <w:sz w:val="20"/>
                <w:szCs w:val="20"/>
                <w:color w:val="auto"/>
              </w:rPr>
            </w:pPr>
            <w:r>
              <w:rPr>
                <w:rFonts w:ascii="Arial" w:cs="Arial" w:eastAsia="Arial" w:hAnsi="Arial"/>
                <w:sz w:val="12"/>
                <w:szCs w:val="12"/>
                <w:color w:val="auto"/>
              </w:rPr>
              <w:t>interests</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(7,839)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(7,839)</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Adjustment of noncontrolling</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(807)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(807)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807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interests in Operating Partnership</w:t>
            </w: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20"/>
                <w:szCs w:val="20"/>
                <w:color w:val="auto"/>
              </w:rPr>
            </w:pPr>
            <w:r>
              <w:rPr>
                <w:rFonts w:ascii="Arial" w:cs="Arial" w:eastAsia="Arial" w:hAnsi="Arial"/>
                <w:sz w:val="12"/>
                <w:szCs w:val="12"/>
                <w:color w:val="auto"/>
              </w:rPr>
              <w:t>Balance at June 30, 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215,617,797</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2,154</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5,518,237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(2,790,097)</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2,731,396</w:t>
            </w:r>
          </w:p>
        </w:tc>
        <w:tc>
          <w:tcPr>
            <w:tcW w:w="120" w:type="dxa"/>
            <w:vAlign w:val="bottom"/>
            <w:gridSpan w:val="2"/>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77,641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2,809,037</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9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2"/>
                <w:szCs w:val="12"/>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9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jc w:val="center"/>
              <w:ind w:right="80"/>
              <w:spacing w:after="0" w:line="67"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jc w:val="center"/>
              <w:ind w:right="100"/>
              <w:spacing w:after="0" w:line="67" w:lineRule="exact"/>
              <w:rPr>
                <w:sz w:val="20"/>
                <w:szCs w:val="20"/>
                <w:color w:val="auto"/>
              </w:rPr>
            </w:pPr>
            <w:r>
              <w:rPr>
                <w:rFonts w:ascii="Arial" w:cs="Arial" w:eastAsia="Arial" w:hAnsi="Arial"/>
                <w:sz w:val="7"/>
                <w:szCs w:val="7"/>
                <w:b w:val="1"/>
                <w:bCs w:val="1"/>
                <w:color w:val="auto"/>
              </w:rPr>
              <w:t>Other</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jc w:val="center"/>
              <w:ind w:right="80"/>
              <w:spacing w:after="0" w:line="67" w:lineRule="exact"/>
              <w:rPr>
                <w:sz w:val="20"/>
                <w:szCs w:val="20"/>
                <w:color w:val="auto"/>
              </w:rPr>
            </w:pPr>
            <w:r>
              <w:rPr>
                <w:rFonts w:ascii="Arial" w:cs="Arial" w:eastAsia="Arial" w:hAnsi="Arial"/>
                <w:sz w:val="7"/>
                <w:szCs w:val="7"/>
                <w:b w:val="1"/>
                <w:bCs w:val="1"/>
                <w:color w:val="auto"/>
              </w:rPr>
              <w:t>Total</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900" w:type="dxa"/>
            <w:vAlign w:val="bottom"/>
          </w:tcPr>
          <w:p>
            <w:pPr>
              <w:spacing w:after="0"/>
              <w:rPr>
                <w:sz w:val="10"/>
                <w:szCs w:val="10"/>
                <w:color w:val="auto"/>
              </w:rPr>
            </w:pPr>
          </w:p>
        </w:tc>
        <w:tc>
          <w:tcPr>
            <w:tcW w:w="1040" w:type="dxa"/>
            <w:vAlign w:val="bottom"/>
            <w:vMerge w:val="restart"/>
          </w:tcPr>
          <w:p>
            <w:pPr>
              <w:jc w:val="right"/>
              <w:ind w:right="279"/>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ind w:right="119"/>
              <w:spacing w:after="0" w:line="124" w:lineRule="exact"/>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100"/>
              <w:spacing w:after="0" w:line="124"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79"/>
              <w:spacing w:after="0" w:line="124"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right="100"/>
              <w:spacing w:after="0" w:line="124"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60"/>
              <w:spacing w:after="0" w:line="124" w:lineRule="exact"/>
              <w:rPr>
                <w:sz w:val="20"/>
                <w:szCs w:val="20"/>
                <w:color w:val="auto"/>
              </w:rPr>
            </w:pPr>
            <w:r>
              <w:rPr>
                <w:rFonts w:ascii="Arial" w:cs="Arial" w:eastAsia="Arial" w:hAnsi="Arial"/>
                <w:sz w:val="12"/>
                <w:szCs w:val="12"/>
                <w:b w:val="1"/>
                <w:bCs w:val="1"/>
                <w:color w:val="auto"/>
                <w:w w:val="91"/>
              </w:rPr>
              <w:t>Stockholders'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79"/>
              <w:spacing w:after="0" w:line="124" w:lineRule="exact"/>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119"/>
              <w:spacing w:after="0" w:line="124"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0"/>
              </w:rPr>
              <w:t>(Loss) Income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8"/>
              </w:rPr>
              <w:t>Equity</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3"/>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214,797,057</w:t>
            </w:r>
          </w:p>
        </w:tc>
        <w:tc>
          <w:tcPr>
            <w:tcW w:w="3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2,147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5,488,440</w:t>
            </w:r>
          </w:p>
        </w:tc>
        <w:tc>
          <w:tcPr>
            <w:tcW w:w="24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(2,443,696)</w:t>
            </w:r>
          </w:p>
        </w:tc>
        <w:tc>
          <w:tcPr>
            <w:tcW w:w="2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3,046,867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129,282</w:t>
            </w:r>
          </w:p>
        </w:tc>
        <w:tc>
          <w:tcPr>
            <w:tcW w:w="2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3,176,149</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20"/>
                <w:szCs w:val="20"/>
                <w:color w:val="auto"/>
              </w:rPr>
            </w:pPr>
            <w:r>
              <w:rPr>
                <w:rFonts w:ascii="Arial" w:cs="Arial" w:eastAsia="Arial" w:hAnsi="Arial"/>
                <w:sz w:val="12"/>
                <w:szCs w:val="12"/>
                <w:color w:val="auto"/>
              </w:rPr>
              <w:t>Net loss</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(52,566)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(52,566)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(2,475)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(55,041)</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Interest rate cap agreement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2"/>
                <w:szCs w:val="12"/>
                <w:color w:val="auto"/>
                <w:w w:val="95"/>
              </w:rPr>
              <w:t>Amortization of share and unit-based</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00" w:type="dxa"/>
            <w:vAlign w:val="bottom"/>
          </w:tcPr>
          <w:p>
            <w:pPr>
              <w:spacing w:after="0"/>
              <w:rPr>
                <w:sz w:val="20"/>
                <w:szCs w:val="20"/>
                <w:color w:val="auto"/>
              </w:rPr>
            </w:pPr>
            <w:r>
              <w:rPr>
                <w:rFonts w:ascii="Arial" w:cs="Arial" w:eastAsia="Arial" w:hAnsi="Arial"/>
                <w:sz w:val="12"/>
                <w:szCs w:val="12"/>
                <w:color w:val="auto"/>
              </w:rPr>
              <w:t>plans</w:t>
            </w:r>
          </w:p>
        </w:tc>
        <w:tc>
          <w:tcPr>
            <w:tcW w:w="1040" w:type="dxa"/>
            <w:vAlign w:val="bottom"/>
          </w:tcPr>
          <w:p>
            <w:pPr>
              <w:jc w:val="right"/>
              <w:spacing w:after="0"/>
              <w:rPr>
                <w:sz w:val="20"/>
                <w:szCs w:val="20"/>
                <w:color w:val="auto"/>
              </w:rPr>
            </w:pPr>
            <w:r>
              <w:rPr>
                <w:rFonts w:ascii="Arial" w:cs="Arial" w:eastAsia="Arial" w:hAnsi="Arial"/>
                <w:sz w:val="12"/>
                <w:szCs w:val="12"/>
                <w:color w:val="auto"/>
              </w:rPr>
              <w:t>184,792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11,444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11,446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11,446</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Employee stock purchases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20"/>
                <w:szCs w:val="20"/>
                <w:color w:val="auto"/>
              </w:rPr>
            </w:pPr>
            <w:r>
              <w:rPr>
                <w:rFonts w:ascii="Arial" w:cs="Arial" w:eastAsia="Arial" w:hAnsi="Arial"/>
                <w:sz w:val="12"/>
                <w:szCs w:val="12"/>
                <w:color w:val="auto"/>
              </w:rPr>
              <w:t>Stock offerings, net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Distributions paid ($0.30 per share)</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(64,531)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(64,531)</w:t>
            </w:r>
          </w:p>
        </w:tc>
        <w:tc>
          <w:tcPr>
            <w:tcW w:w="0" w:type="dxa"/>
            <w:vAlign w:val="bottom"/>
          </w:tcPr>
          <w:p>
            <w:pPr>
              <w:spacing w:after="0"/>
              <w:rPr>
                <w:sz w:val="1"/>
                <w:szCs w:val="1"/>
                <w:color w:val="auto"/>
              </w:rPr>
            </w:pPr>
          </w:p>
        </w:tc>
      </w:tr>
      <w:tr>
        <w:trPr>
          <w:trHeight w:val="118"/>
        </w:trPr>
        <w:tc>
          <w:tcPr>
            <w:tcW w:w="1900" w:type="dxa"/>
            <w:vAlign w:val="bottom"/>
          </w:tcPr>
          <w:p>
            <w:pPr>
              <w:spacing w:after="0" w:line="118" w:lineRule="exact"/>
              <w:rPr>
                <w:sz w:val="20"/>
                <w:szCs w:val="20"/>
                <w:color w:val="auto"/>
              </w:rPr>
            </w:pPr>
            <w:r>
              <w:rPr>
                <w:rFonts w:ascii="Arial" w:cs="Arial" w:eastAsia="Arial" w:hAnsi="Arial"/>
                <w:sz w:val="12"/>
                <w:szCs w:val="12"/>
                <w:color w:val="auto"/>
              </w:rPr>
              <w:t>Distributions to noncontrolling</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(12,182)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(12,182)</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20"/>
                <w:szCs w:val="20"/>
                <w:color w:val="auto"/>
              </w:rPr>
            </w:pPr>
            <w:r>
              <w:rPr>
                <w:rFonts w:ascii="Arial" w:cs="Arial" w:eastAsia="Arial" w:hAnsi="Arial"/>
                <w:sz w:val="12"/>
                <w:szCs w:val="12"/>
                <w:color w:val="auto"/>
              </w:rPr>
              <w:t>interests</w:t>
            </w: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9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Conversion of noncontrolling</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34,551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2,078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2,078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(2,078)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interests to common shares</w:t>
            </w: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2"/>
                <w:szCs w:val="12"/>
                <w:color w:val="auto"/>
              </w:rPr>
              <w:t>Redemption of noncontrolling</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00" w:type="dxa"/>
            <w:vAlign w:val="bottom"/>
          </w:tcPr>
          <w:p>
            <w:pPr>
              <w:spacing w:after="0"/>
              <w:rPr>
                <w:sz w:val="20"/>
                <w:szCs w:val="20"/>
                <w:color w:val="auto"/>
              </w:rPr>
            </w:pPr>
            <w:r>
              <w:rPr>
                <w:rFonts w:ascii="Arial" w:cs="Arial" w:eastAsia="Arial" w:hAnsi="Arial"/>
                <w:sz w:val="12"/>
                <w:szCs w:val="12"/>
                <w:color w:val="auto"/>
              </w:rPr>
              <w:t>interests</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Adjustment of noncontrolling</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(2,877)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(2,877)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2,877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interests in Operating Partnership</w:t>
            </w: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20"/>
                <w:szCs w:val="20"/>
                <w:color w:val="auto"/>
              </w:rPr>
            </w:pPr>
            <w:r>
              <w:rPr>
                <w:rFonts w:ascii="Arial" w:cs="Arial" w:eastAsia="Arial" w:hAnsi="Arial"/>
                <w:sz w:val="12"/>
                <w:szCs w:val="12"/>
                <w:color w:val="auto"/>
              </w:rPr>
              <w:t>Balance at June 30, 2022</w:t>
            </w:r>
          </w:p>
        </w:tc>
        <w:tc>
          <w:tcPr>
            <w:tcW w:w="1040" w:type="dxa"/>
            <w:vAlign w:val="bottom"/>
          </w:tcPr>
          <w:p>
            <w:pPr>
              <w:jc w:val="right"/>
              <w:spacing w:after="0"/>
              <w:rPr>
                <w:sz w:val="20"/>
                <w:szCs w:val="20"/>
                <w:color w:val="auto"/>
              </w:rPr>
            </w:pPr>
            <w:r>
              <w:rPr>
                <w:rFonts w:ascii="Arial" w:cs="Arial" w:eastAsia="Arial" w:hAnsi="Arial"/>
                <w:sz w:val="12"/>
                <w:szCs w:val="12"/>
                <w:color w:val="auto"/>
              </w:rPr>
              <w:t>215,113,342</w:t>
            </w:r>
          </w:p>
        </w:tc>
        <w:tc>
          <w:tcPr>
            <w:tcW w:w="300" w:type="dxa"/>
            <w:vAlign w:val="bottom"/>
            <w:gridSpan w:val="2"/>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2,150</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5,500,101</w:t>
            </w:r>
          </w:p>
        </w:tc>
        <w:tc>
          <w:tcPr>
            <w:tcW w:w="240" w:type="dxa"/>
            <w:vAlign w:val="bottom"/>
            <w:gridSpan w:val="2"/>
          </w:tcPr>
          <w:p>
            <w:pPr>
              <w:jc w:val="right"/>
              <w:ind w:right="9"/>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(2,560,793)</w:t>
            </w:r>
          </w:p>
        </w:tc>
        <w:tc>
          <w:tcPr>
            <w:tcW w:w="28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16</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2,941,474</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114,919</w:t>
            </w:r>
          </w:p>
        </w:tc>
        <w:tc>
          <w:tcPr>
            <w:tcW w:w="280" w:type="dxa"/>
            <w:vAlign w:val="bottom"/>
            <w:gridSpan w:val="2"/>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3,056,393</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8220" w:type="dxa"/>
            <w:vAlign w:val="bottom"/>
          </w:tcPr>
          <w:p>
            <w:pPr>
              <w:jc w:val="center"/>
              <w:ind w:left="2432"/>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8"/>
        </w:trPr>
        <w:tc>
          <w:tcPr>
            <w:tcW w:w="26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760" w:type="dxa"/>
            <w:vAlign w:val="bottom"/>
            <w:gridSpan w:val="6"/>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For the Six Months Ended June</w:t>
            </w:r>
          </w:p>
        </w:tc>
      </w:tr>
      <w:tr>
        <w:trPr>
          <w:trHeight w:val="232"/>
        </w:trPr>
        <w:tc>
          <w:tcPr>
            <w:tcW w:w="26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1"/>
        </w:trPr>
        <w:tc>
          <w:tcPr>
            <w:tcW w:w="26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(72,600)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(55,041)</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Gain on sale or write down of assets,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(5,362)</w:t>
            </w:r>
          </w:p>
        </w:tc>
        <w:tc>
          <w:tcPr>
            <w:tcW w:w="240" w:type="dxa"/>
            <w:vAlign w:val="bottom"/>
          </w:tcPr>
          <w:p>
            <w:pPr>
              <w:spacing w:after="0"/>
              <w:rPr>
                <w:sz w:val="19"/>
                <w:szCs w:val="19"/>
                <w:color w:val="auto"/>
              </w:rPr>
            </w:pPr>
          </w:p>
        </w:tc>
      </w:tr>
      <w:tr>
        <w:trPr>
          <w:trHeight w:val="237"/>
        </w:trPr>
        <w:tc>
          <w:tcPr>
            <w:tcW w:w="260" w:type="dxa"/>
            <w:vAlign w:val="bottom"/>
          </w:tcPr>
          <w:p>
            <w:pPr>
              <w:spacing w:after="0"/>
              <w:rPr>
                <w:sz w:val="20"/>
                <w:szCs w:val="20"/>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150,759</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Amortization of share and unit-based plans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9,152</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Straight-line rent and amortization of above and below market leases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Recovery of doubtful accounts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Equity in loss of unconsolidated joint ventures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22,744</w:t>
            </w:r>
          </w:p>
        </w:tc>
        <w:tc>
          <w:tcPr>
            <w:tcW w:w="240" w:type="dxa"/>
            <w:vAlign w:val="bottom"/>
          </w:tcPr>
          <w:p>
            <w:pPr>
              <w:spacing w:after="0"/>
              <w:rPr>
                <w:sz w:val="19"/>
                <w:szCs w:val="19"/>
                <w:color w:val="auto"/>
              </w:rPr>
            </w:pPr>
          </w:p>
        </w:tc>
      </w:tr>
      <w:tr>
        <w:trPr>
          <w:trHeight w:val="237"/>
        </w:trPr>
        <w:tc>
          <w:tcPr>
            <w:tcW w:w="260" w:type="dxa"/>
            <w:vAlign w:val="bottom"/>
          </w:tcPr>
          <w:p>
            <w:pPr>
              <w:spacing w:after="0"/>
              <w:rPr>
                <w:sz w:val="20"/>
                <w:szCs w:val="20"/>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of income from unconsolidated joint ventures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Change in fair value of financing arrangement obligation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9,785</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dispositions: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Tenant and other receivables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26,355</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Due from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(3,536)</w:t>
            </w:r>
          </w:p>
        </w:tc>
        <w:tc>
          <w:tcPr>
            <w:tcW w:w="240" w:type="dxa"/>
            <w:vAlign w:val="bottom"/>
          </w:tcPr>
          <w:p>
            <w:pPr>
              <w:spacing w:after="0"/>
              <w:rPr>
                <w:sz w:val="19"/>
                <w:szCs w:val="19"/>
                <w:color w:val="auto"/>
              </w:rPr>
            </w:pPr>
          </w:p>
        </w:tc>
      </w:tr>
      <w:tr>
        <w:trPr>
          <w:trHeight w:val="237"/>
        </w:trPr>
        <w:tc>
          <w:tcPr>
            <w:tcW w:w="260" w:type="dxa"/>
            <w:vAlign w:val="bottom"/>
          </w:tcPr>
          <w:p>
            <w:pPr>
              <w:spacing w:after="0"/>
              <w:rPr>
                <w:sz w:val="20"/>
                <w:szCs w:val="20"/>
                <w:color w:val="auto"/>
              </w:rPr>
            </w:pPr>
          </w:p>
        </w:tc>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(26,957)</w:t>
            </w:r>
          </w:p>
        </w:tc>
        <w:tc>
          <w:tcPr>
            <w:tcW w:w="24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115,422</w:t>
            </w:r>
          </w:p>
        </w:tc>
        <w:tc>
          <w:tcPr>
            <w:tcW w:w="24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of property</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Development, redevelopment, expansion and renovation of properties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(21,225)</w:t>
            </w:r>
          </w:p>
        </w:tc>
        <w:tc>
          <w:tcPr>
            <w:tcW w:w="240" w:type="dxa"/>
            <w:vAlign w:val="bottom"/>
          </w:tcPr>
          <w:p>
            <w:pPr>
              <w:spacing w:after="0"/>
              <w:rPr>
                <w:sz w:val="19"/>
                <w:szCs w:val="19"/>
                <w:color w:val="auto"/>
              </w:rPr>
            </w:pPr>
          </w:p>
        </w:tc>
      </w:tr>
      <w:tr>
        <w:trPr>
          <w:trHeight w:val="237"/>
        </w:trPr>
        <w:tc>
          <w:tcPr>
            <w:tcW w:w="260" w:type="dxa"/>
            <w:vAlign w:val="bottom"/>
          </w:tcPr>
          <w:p>
            <w:pPr>
              <w:spacing w:after="0"/>
              <w:rPr>
                <w:sz w:val="20"/>
                <w:szCs w:val="20"/>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improvements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(17,708)</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Deferred leasing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(915)</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 from unconsolidated joint ventures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Contributions to unconsolidated joint ventures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(31,886)</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collection of receivable in connection with sale of joint venture property</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Proceeds from sale of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30,994</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51,117</w:t>
            </w:r>
          </w:p>
        </w:tc>
        <w:tc>
          <w:tcPr>
            <w:tcW w:w="240" w:type="dxa"/>
            <w:vAlign w:val="bottom"/>
          </w:tcPr>
          <w:p>
            <w:pPr>
              <w:spacing w:after="0"/>
              <w:rPr>
                <w:sz w:val="20"/>
                <w:szCs w:val="20"/>
                <w:color w:val="auto"/>
              </w:rPr>
            </w:pPr>
          </w:p>
        </w:tc>
      </w:tr>
      <w:tr>
        <w:trPr>
          <w:trHeight w:val="873"/>
        </w:trPr>
        <w:tc>
          <w:tcPr>
            <w:tcW w:w="8480" w:type="dxa"/>
            <w:vAlign w:val="bottom"/>
            <w:gridSpan w:val="2"/>
          </w:tcPr>
          <w:p>
            <w:pPr>
              <w:jc w:val="right"/>
              <w:ind w:right="273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2"/>
        </w:trPr>
        <w:tc>
          <w:tcPr>
            <w:tcW w:w="260" w:type="dxa"/>
            <w:vAlign w:val="bottom"/>
            <w:tcBorders>
              <w:bottom w:val="single" w:sz="8" w:color="9A9A9A"/>
            </w:tcBorders>
          </w:tcPr>
          <w:p>
            <w:pPr>
              <w:spacing w:after="0"/>
              <w:rPr>
                <w:sz w:val="9"/>
                <w:szCs w:val="9"/>
                <w:color w:val="auto"/>
              </w:rPr>
            </w:pPr>
          </w:p>
        </w:tc>
        <w:tc>
          <w:tcPr>
            <w:tcW w:w="8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MACERICH COMPANY</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w:t>
      </w:r>
    </w:p>
    <w:p>
      <w:pPr>
        <w:spacing w:after="0" w:line="82" w:lineRule="exact"/>
        <w:rPr>
          <w:sz w:val="20"/>
          <w:szCs w:val="20"/>
          <w:color w:val="auto"/>
        </w:rPr>
      </w:pPr>
    </w:p>
    <w:tbl>
      <w:tblPr>
        <w:tblLayout w:type="fixed"/>
        <w:tblInd w:w="260" w:type="dxa"/>
        <w:tblCellMar>
          <w:top w:w="0" w:type="dxa"/>
          <w:left w:w="0" w:type="dxa"/>
          <w:bottom w:w="0" w:type="dxa"/>
          <w:right w:w="0" w:type="dxa"/>
        </w:tblCellMar>
      </w:tblPr>
      <w:tr>
        <w:trPr>
          <w:trHeight w:val="228"/>
        </w:trPr>
        <w:tc>
          <w:tcPr>
            <w:tcW w:w="8220" w:type="dxa"/>
            <w:vAlign w:val="bottom"/>
          </w:tcPr>
          <w:p>
            <w:pPr>
              <w:ind w:left="492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2520" w:type="dxa"/>
            <w:vAlign w:val="bottom"/>
            <w:gridSpan w:val="5"/>
          </w:tcPr>
          <w:p>
            <w:pPr>
              <w:jc w:val="right"/>
              <w:spacing w:after="0" w:line="185" w:lineRule="exact"/>
              <w:rPr>
                <w:sz w:val="20"/>
                <w:szCs w:val="20"/>
                <w:color w:val="auto"/>
              </w:rPr>
            </w:pPr>
            <w:r>
              <w:rPr>
                <w:rFonts w:ascii="Arial" w:cs="Arial" w:eastAsia="Arial" w:hAnsi="Arial"/>
                <w:sz w:val="18"/>
                <w:szCs w:val="18"/>
                <w:b w:val="1"/>
                <w:bCs w:val="1"/>
                <w:color w:val="auto"/>
                <w:w w:val="89"/>
              </w:rPr>
              <w:t>For the Six Months Ended June</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Proceeds from mortgages, bank and other notes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mortgages, bank and other notes payable</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(120,796)</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Deferred financing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finance leases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Costs from stock offerings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share and unit-based plans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Redemption of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and distributions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(76,713)</w:t>
            </w:r>
          </w:p>
        </w:tc>
        <w:tc>
          <w:tcPr>
            <w:tcW w:w="0" w:type="dxa"/>
            <w:vAlign w:val="bottom"/>
          </w:tcPr>
          <w:p>
            <w:pPr>
              <w:spacing w:after="0"/>
              <w:rPr>
                <w:sz w:val="1"/>
                <w:szCs w:val="1"/>
                <w:color w:val="auto"/>
              </w:rPr>
            </w:pPr>
          </w:p>
        </w:tc>
      </w:tr>
      <w:tr>
        <w:trPr>
          <w:trHeight w:val="216"/>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(175,066)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166,971</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184,803</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158,444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 for interest, net of amounts capitalized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94,686</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Non-cash investing and financing transactions: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120"/>
              <w:spacing w:after="0" w:line="197" w:lineRule="exact"/>
              <w:rPr>
                <w:sz w:val="20"/>
                <w:szCs w:val="20"/>
                <w:color w:val="auto"/>
              </w:rPr>
            </w:pPr>
            <w:r>
              <w:rPr>
                <w:rFonts w:ascii="Arial" w:cs="Arial" w:eastAsia="Arial" w:hAnsi="Arial"/>
                <w:sz w:val="18"/>
                <w:szCs w:val="18"/>
                <w:color w:val="auto"/>
                <w:w w:val="93"/>
              </w:rPr>
              <w:t>Accrued development costs included in accounts payable and accrued expenses and other accrued liabilities</w:t>
            </w:r>
          </w:p>
        </w:tc>
        <w:tc>
          <w:tcPr>
            <w:tcW w:w="260" w:type="dxa"/>
            <w:vAlign w:val="bottom"/>
            <w:tcBorders>
              <w:bottom w:val="single" w:sz="8" w:color="auto"/>
            </w:tcBorders>
            <w:shd w:val="clear" w:color="auto" w:fill="CCEEFF"/>
          </w:tcPr>
          <w:p>
            <w:pPr>
              <w:jc w:val="right"/>
              <w:ind w:right="72"/>
              <w:spacing w:after="0" w:line="197"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40,197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2"/>
              <w:spacing w:after="0" w:line="197"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23,340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Pr>
          <w:p>
            <w:pPr>
              <w:ind w:left="120"/>
              <w:spacing w:after="0"/>
              <w:rPr>
                <w:sz w:val="20"/>
                <w:szCs w:val="20"/>
                <w:color w:val="auto"/>
              </w:rPr>
            </w:pPr>
            <w:r>
              <w:rPr>
                <w:rFonts w:ascii="Arial" w:cs="Arial" w:eastAsia="Arial" w:hAnsi="Arial"/>
                <w:sz w:val="18"/>
                <w:szCs w:val="18"/>
                <w:color w:val="auto"/>
              </w:rPr>
              <w:t>Conversion of Operating Partnership Units to common stock</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acquired from unconsolidated joint venture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46,713</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54"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town centers and community/power shopping centers (the "Centers") located throughout the United States.</w:t>
      </w:r>
    </w:p>
    <w:p>
      <w:pPr>
        <w:spacing w:after="0" w:line="115" w:lineRule="exact"/>
        <w:rPr>
          <w:sz w:val="20"/>
          <w:szCs w:val="20"/>
          <w:color w:val="auto"/>
        </w:rPr>
      </w:pPr>
    </w:p>
    <w:p>
      <w:pPr>
        <w:ind w:right="220" w:firstLine="434"/>
        <w:spacing w:after="0" w:line="299" w:lineRule="auto"/>
        <w:rPr>
          <w:sz w:val="20"/>
          <w:szCs w:val="20"/>
          <w:color w:val="auto"/>
        </w:rPr>
      </w:pPr>
      <w:r>
        <w:rPr>
          <w:rFonts w:ascii="Arial" w:cs="Arial" w:eastAsia="Arial" w:hAnsi="Arial"/>
          <w:sz w:val="16"/>
          <w:szCs w:val="16"/>
          <w:color w:val="auto"/>
        </w:rPr>
        <w:t>The Company commenced operations effective with the completion of its initial public offering on March 16, 1994. As of June 30, 2023,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75" w:lineRule="exact"/>
        <w:rPr>
          <w:sz w:val="20"/>
          <w:szCs w:val="20"/>
          <w:color w:val="auto"/>
        </w:rPr>
      </w:pPr>
    </w:p>
    <w:p>
      <w:pPr>
        <w:ind w:right="160" w:firstLine="434"/>
        <w:spacing w:after="0" w:line="284" w:lineRule="auto"/>
        <w:rPr>
          <w:sz w:val="20"/>
          <w:szCs w:val="20"/>
          <w:color w:val="auto"/>
        </w:rPr>
      </w:pPr>
      <w:r>
        <w:rPr>
          <w:rFonts w:ascii="Arial" w:cs="Arial" w:eastAsia="Arial" w:hAnsi="Arial"/>
          <w:sz w:val="16"/>
          <w:szCs w:val="16"/>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00" w:lineRule="exact"/>
        <w:rPr>
          <w:sz w:val="20"/>
          <w:szCs w:val="20"/>
          <w:color w:val="auto"/>
        </w:rPr>
      </w:pPr>
    </w:p>
    <w:p>
      <w:pPr>
        <w:ind w:right="400" w:firstLine="434"/>
        <w:spacing w:after="0" w:line="261" w:lineRule="auto"/>
        <w:rPr>
          <w:sz w:val="20"/>
          <w:szCs w:val="20"/>
          <w:color w:val="auto"/>
        </w:rPr>
      </w:pPr>
      <w:r>
        <w:rPr>
          <w:rFonts w:ascii="Arial" w:cs="Arial" w:eastAsia="Arial" w:hAnsi="Arial"/>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109" w:lineRule="exact"/>
        <w:rPr>
          <w:sz w:val="20"/>
          <w:szCs w:val="20"/>
          <w:color w:val="auto"/>
        </w:rPr>
      </w:pPr>
    </w:p>
    <w:p>
      <w:pPr>
        <w:ind w:left="400" w:right="7720" w:hanging="395"/>
        <w:spacing w:after="0" w:line="407" w:lineRule="auto"/>
        <w:tabs>
          <w:tab w:leader="none" w:pos="18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27"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Fashion District Philadelphia and SanTan Village Regional Center.</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Partnership's consolidated VIEs included the following assets and liabilities: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337"/>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December 31,</w:t>
            </w:r>
          </w:p>
        </w:tc>
      </w:tr>
      <w:tr>
        <w:trPr>
          <w:trHeight w:val="183"/>
        </w:trPr>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24"/>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Property, net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445,426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452,559</w:t>
            </w:r>
          </w:p>
        </w:tc>
      </w:tr>
      <w:tr>
        <w:trPr>
          <w:trHeight w:val="23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93,102</w:t>
            </w:r>
          </w:p>
        </w:tc>
      </w:tr>
      <w:tr>
        <w:trPr>
          <w:trHeight w:val="217"/>
        </w:trPr>
        <w:tc>
          <w:tcPr>
            <w:tcW w:w="822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543,548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545,661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Mortgage notes payable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295,051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323,841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135,340</w:t>
            </w:r>
          </w:p>
        </w:tc>
      </w:tr>
      <w:tr>
        <w:trPr>
          <w:trHeight w:val="217"/>
        </w:trPr>
        <w:tc>
          <w:tcPr>
            <w:tcW w:w="822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423,418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459,181</w:t>
            </w:r>
          </w:p>
        </w:tc>
      </w:tr>
      <w:tr>
        <w:trPr>
          <w:trHeight w:val="20"/>
        </w:trPr>
        <w:tc>
          <w:tcPr>
            <w:tcW w:w="8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6"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2022.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2022 has been derived from the audited financial statements but does not include all disclosures required by GAAP.</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a reconciliation of the beginning of period and end of period cash, cash equivalents and restricted cash reported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to the totals shown on its 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1"/>
              </w:rPr>
              <w:t>For the Six Months Ended June 30,</w:t>
            </w:r>
          </w:p>
        </w:tc>
      </w:tr>
      <w:tr>
        <w:trPr>
          <w:trHeight w:val="24"/>
        </w:trPr>
        <w:tc>
          <w:tcPr>
            <w:tcW w:w="8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8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100,320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112,454</w:t>
            </w: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54,517</w:t>
            </w:r>
          </w:p>
        </w:tc>
      </w:tr>
      <w:tr>
        <w:trPr>
          <w:trHeight w:val="217"/>
        </w:trPr>
        <w:tc>
          <w:tcPr>
            <w:tcW w:w="850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181,139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166,971</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5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End of period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92,465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106,384</w:t>
            </w:r>
          </w:p>
        </w:tc>
      </w:tr>
      <w:tr>
        <w:trPr>
          <w:trHeight w:val="22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52,060</w:t>
            </w:r>
          </w:p>
        </w:tc>
      </w:tr>
      <w:tr>
        <w:trPr>
          <w:trHeight w:val="230"/>
        </w:trPr>
        <w:tc>
          <w:tcPr>
            <w:tcW w:w="850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184,803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158,444</w:t>
            </w:r>
          </w:p>
        </w:tc>
      </w:tr>
      <w:tr>
        <w:trPr>
          <w:trHeight w:val="20"/>
        </w:trPr>
        <w:tc>
          <w:tcPr>
            <w:tcW w:w="8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54" w:lineRule="exact"/>
        <w:rPr>
          <w:sz w:val="20"/>
          <w:szCs w:val="20"/>
          <w:color w:val="auto"/>
        </w:rPr>
      </w:pPr>
    </w:p>
    <w:p>
      <w:pPr>
        <w:ind w:right="380" w:firstLine="434"/>
        <w:spacing w:after="0" w:line="261" w:lineRule="auto"/>
        <w:rPr>
          <w:sz w:val="20"/>
          <w:szCs w:val="20"/>
          <w:color w:val="auto"/>
        </w:rPr>
      </w:pPr>
      <w:r>
        <w:rPr>
          <w:rFonts w:ascii="Arial" w:cs="Arial" w:eastAsia="Arial" w:hAnsi="Arial"/>
          <w:sz w:val="18"/>
          <w:szCs w:val="18"/>
          <w:color w:val="auto"/>
        </w:rPr>
        <w:t>The following table reconciles the numerator and denominator used in the computation of EPS for the three and six months ended June 30, 2023 and 2022 (shares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2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For the Three Months Ended June 30,</w:t>
            </w:r>
          </w:p>
        </w:tc>
        <w:tc>
          <w:tcPr>
            <w:tcW w:w="120" w:type="dxa"/>
            <w:vAlign w:val="bottom"/>
          </w:tcPr>
          <w:p>
            <w:pPr>
              <w:spacing w:after="0"/>
              <w:rPr>
                <w:sz w:val="15"/>
                <w:szCs w:val="15"/>
                <w:color w:val="auto"/>
              </w:rPr>
            </w:pPr>
          </w:p>
        </w:tc>
        <w:tc>
          <w:tcPr>
            <w:tcW w:w="230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7"/>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(14,406)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(17,687)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(72,600)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(55,041)</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loss attributable to the Company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(73,697)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(52,566)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color w:val="auto"/>
                <w:w w:val="93"/>
              </w:rPr>
              <w:t>Numerator for basic and diluted EPS—net loss attributable to common stockholders</w:t>
            </w:r>
          </w:p>
        </w:tc>
        <w:tc>
          <w:tcPr>
            <w:tcW w:w="280" w:type="dxa"/>
            <w:vAlign w:val="bottom"/>
          </w:tcPr>
          <w:p>
            <w:pPr>
              <w:jc w:val="right"/>
              <w:ind w:right="77"/>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(15,177)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(15,593)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(74,135)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(52,997)</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240" w:type="dxa"/>
            <w:vAlign w:val="bottom"/>
          </w:tcPr>
          <w:p>
            <w:pPr>
              <w:ind w:left="20"/>
              <w:spacing w:after="0" w:line="172" w:lineRule="exact"/>
              <w:rPr>
                <w:sz w:val="20"/>
                <w:szCs w:val="20"/>
                <w:color w:val="auto"/>
              </w:rPr>
            </w:pPr>
            <w:r>
              <w:rPr>
                <w:rFonts w:ascii="Arial" w:cs="Arial" w:eastAsia="Arial" w:hAnsi="Arial"/>
                <w:sz w:val="18"/>
                <w:szCs w:val="18"/>
                <w:color w:val="auto"/>
                <w:w w:val="89"/>
              </w:rPr>
              <w:t>Denominator for basic and diluted EPS—weighted average number of common shares</w:t>
            </w: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215,457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214,990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215,375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214,905</w:t>
            </w:r>
          </w:p>
        </w:tc>
        <w:tc>
          <w:tcPr>
            <w:tcW w:w="0" w:type="dxa"/>
            <w:vAlign w:val="bottom"/>
          </w:tcPr>
          <w:p>
            <w:pPr>
              <w:spacing w:after="0"/>
              <w:rPr>
                <w:sz w:val="1"/>
                <w:szCs w:val="1"/>
                <w:color w:val="auto"/>
              </w:rPr>
            </w:pPr>
          </w:p>
        </w:tc>
      </w:tr>
      <w:tr>
        <w:trPr>
          <w:trHeight w:val="196"/>
        </w:trPr>
        <w:tc>
          <w:tcPr>
            <w:tcW w:w="6240" w:type="dxa"/>
            <w:vAlign w:val="bottom"/>
          </w:tcPr>
          <w:p>
            <w:pPr>
              <w:ind w:left="20"/>
              <w:spacing w:after="0" w:line="196" w:lineRule="exact"/>
              <w:rPr>
                <w:sz w:val="20"/>
                <w:szCs w:val="20"/>
                <w:color w:val="auto"/>
              </w:rPr>
            </w:pPr>
            <w:r>
              <w:rPr>
                <w:rFonts w:ascii="Arial" w:cs="Arial" w:eastAsia="Arial" w:hAnsi="Arial"/>
                <w:sz w:val="18"/>
                <w:szCs w:val="18"/>
                <w:color w:val="auto"/>
              </w:rPr>
              <w:t>outstanding(1)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EPS—net loss attributable to common stockholders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tcPr>
          <w:p>
            <w:pPr>
              <w:jc w:val="right"/>
              <w:ind w:right="77"/>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hanging="175"/>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 (Continued)</w:t>
      </w:r>
    </w:p>
    <w:p>
      <w:pPr>
        <w:spacing w:after="0" w:line="187" w:lineRule="exact"/>
        <w:rPr>
          <w:rFonts w:ascii="Arial" w:cs="Arial" w:eastAsia="Arial" w:hAnsi="Arial"/>
          <w:sz w:val="18"/>
          <w:szCs w:val="18"/>
          <w:b w:val="1"/>
          <w:bCs w:val="1"/>
          <w:color w:val="auto"/>
        </w:rPr>
      </w:pPr>
    </w:p>
    <w:p>
      <w:pPr>
        <w:jc w:val="both"/>
        <w:ind w:left="640" w:right="40" w:hanging="319"/>
        <w:spacing w:after="0" w:line="366" w:lineRule="auto"/>
        <w:tabs>
          <w:tab w:leader="none" w:pos="663" w:val="left"/>
        </w:tabs>
        <w:numPr>
          <w:ilvl w:val="1"/>
          <w:numId w:val="4"/>
        </w:numPr>
        <w:rPr>
          <w:rFonts w:ascii="Arial" w:cs="Arial" w:eastAsia="Arial" w:hAnsi="Arial"/>
          <w:sz w:val="12"/>
          <w:szCs w:val="12"/>
          <w:color w:val="auto"/>
        </w:rPr>
      </w:pPr>
      <w:r>
        <w:rPr>
          <w:rFonts w:ascii="Arial" w:cs="Arial" w:eastAsia="Arial" w:hAnsi="Arial"/>
          <w:sz w:val="12"/>
          <w:szCs w:val="12"/>
          <w:color w:val="auto"/>
        </w:rPr>
        <w:t>Diluted EPS excludes 99,565 convertible preferred partnership units for each of the three months ended June 30, 2023 and 2022 and 99,565 convertible preferred partnership units for each of the six months ended June 30, 2023 and 2022, as their impact was antidilutive. Diluted EPS also excludes 8,985,493 and 8,658,193 Operating Partnership units ("OP Units") for the three months ended June 30, 2023 and 2022, respectively, and 8,982,075 and 8,669,907 OP Units for the six months ended June 30, 2023 and 2022, respectively, as their impact was antidilutive.</w:t>
      </w:r>
    </w:p>
    <w:p>
      <w:pPr>
        <w:spacing w:after="0" w:line="262" w:lineRule="exact"/>
        <w:rPr>
          <w:rFonts w:ascii="Arial" w:cs="Arial" w:eastAsia="Arial" w:hAnsi="Arial"/>
          <w:sz w:val="12"/>
          <w:szCs w:val="12"/>
          <w:color w:val="auto"/>
        </w:rPr>
      </w:pPr>
    </w:p>
    <w:p>
      <w:pPr>
        <w:ind w:left="180" w:hanging="175"/>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Joint Ventures: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made the following recent financings or other events within its unconsolidated joint ventures:</w:t>
      </w:r>
    </w:p>
    <w:p>
      <w:pPr>
        <w:spacing w:after="0" w:line="148" w:lineRule="exact"/>
        <w:rPr>
          <w:sz w:val="20"/>
          <w:szCs w:val="20"/>
          <w:color w:val="auto"/>
        </w:rPr>
      </w:pPr>
    </w:p>
    <w:p>
      <w:pPr>
        <w:ind w:firstLine="434"/>
        <w:spacing w:after="0" w:line="299" w:lineRule="auto"/>
        <w:rPr>
          <w:sz w:val="20"/>
          <w:szCs w:val="20"/>
          <w:color w:val="auto"/>
        </w:rPr>
      </w:pPr>
      <w:r>
        <w:rPr>
          <w:rFonts w:ascii="Arial" w:cs="Arial" w:eastAsia="Arial" w:hAnsi="Arial"/>
          <w:sz w:val="16"/>
          <w:szCs w:val="16"/>
          <w:color w:val="auto"/>
        </w:rPr>
        <w:t>On February 2, 2022, the Company’s joint venture in FlatIron Crossing replaced the existing $197,011 loan on the property with a new $175,000 loan that bears interest at the Secured Overnight Financing Rate ("SOFR") plus 3.70% and matures on February 9, 2025, including extension options. The loan is covered by an interest rate cap agreement that effectively prevents SOFR from exceeding 4.0% through February 15, 2024.</w:t>
      </w:r>
    </w:p>
    <w:p>
      <w:pPr>
        <w:spacing w:after="0" w:line="88" w:lineRule="exact"/>
        <w:rPr>
          <w:sz w:val="20"/>
          <w:szCs w:val="20"/>
          <w:color w:val="auto"/>
        </w:rPr>
      </w:pPr>
    </w:p>
    <w:p>
      <w:pPr>
        <w:ind w:right="120" w:firstLine="434"/>
        <w:spacing w:after="0" w:line="286" w:lineRule="auto"/>
        <w:rPr>
          <w:sz w:val="20"/>
          <w:szCs w:val="20"/>
          <w:color w:val="auto"/>
        </w:rPr>
      </w:pPr>
      <w:r>
        <w:rPr>
          <w:rFonts w:ascii="Arial" w:cs="Arial" w:eastAsia="Arial" w:hAnsi="Arial"/>
          <w:sz w:val="16"/>
          <w:szCs w:val="16"/>
          <w:color w:val="auto"/>
        </w:rPr>
        <w:t>On August 2, 2022, the Company acquired the remaining 50% ownership interest in two former Sears parcels (Deptford Mall and Vintage Faire Mall) in MS Portfolio LLC, the Company's joint venture with Seritage Growth Properties ("Seritage"), for a total purchase price of approximately $24,544. As a result of this transaction and the shortening of holding periods on certain other assets in the joint venture, an impairment loss was recorded for the twelve months ending December 31, 2022. The Company's share of the impairment loss was $27,054. Effective as of August 2, 2022, the Company now owns and has consolidated its 100% interest in these two former Sears parcels in its consolidated financial statements (See Note 15</w:t>
      </w:r>
      <w:r>
        <w:rPr>
          <w:rFonts w:ascii="Arial" w:cs="Arial" w:eastAsia="Arial" w:hAnsi="Arial"/>
          <w:sz w:val="13"/>
          <w:szCs w:val="13"/>
          <w:color w:val="auto"/>
        </w:rPr>
        <w:t>—</w:t>
      </w:r>
      <w:r>
        <w:rPr>
          <w:rFonts w:ascii="Arial" w:cs="Arial" w:eastAsia="Arial" w:hAnsi="Arial"/>
          <w:sz w:val="16"/>
          <w:szCs w:val="16"/>
          <w:color w:val="auto"/>
        </w:rPr>
        <w:t>Acquisitions).</w:t>
      </w:r>
    </w:p>
    <w:p>
      <w:pPr>
        <w:spacing w:after="0" w:line="87" w:lineRule="exact"/>
        <w:rPr>
          <w:sz w:val="20"/>
          <w:szCs w:val="20"/>
          <w:color w:val="auto"/>
        </w:rPr>
      </w:pPr>
    </w:p>
    <w:p>
      <w:pPr>
        <w:ind w:right="140" w:firstLine="434"/>
        <w:spacing w:after="0" w:line="327" w:lineRule="auto"/>
        <w:rPr>
          <w:sz w:val="20"/>
          <w:szCs w:val="20"/>
          <w:color w:val="auto"/>
        </w:rPr>
      </w:pPr>
      <w:r>
        <w:rPr>
          <w:rFonts w:ascii="Arial" w:cs="Arial" w:eastAsia="Arial" w:hAnsi="Arial"/>
          <w:sz w:val="15"/>
          <w:szCs w:val="15"/>
          <w:color w:val="auto"/>
        </w:rPr>
        <w:t>On November 14, 2022, the Company's joint venture in Washington Square closed on a four-year maturity date extension for the existing loan to November 1, 2026, including extension options. The Company's joint venture repaid $15,000 ($9,000 at the Company's pro rata share) of the outstanding loan balance. The loan bears interest at SOFR plus 4.0% and is covered by an interest rate cap agreement that effectively prevents SOFR from exceeding 4.0%.</w:t>
      </w:r>
    </w:p>
    <w:p>
      <w:pPr>
        <w:spacing w:after="0" w:line="70" w:lineRule="exact"/>
        <w:rPr>
          <w:sz w:val="20"/>
          <w:szCs w:val="20"/>
          <w:color w:val="auto"/>
        </w:rPr>
      </w:pPr>
    </w:p>
    <w:p>
      <w:pPr>
        <w:ind w:right="540" w:firstLine="434"/>
        <w:spacing w:after="0" w:line="324" w:lineRule="auto"/>
        <w:rPr>
          <w:sz w:val="20"/>
          <w:szCs w:val="20"/>
          <w:color w:val="auto"/>
        </w:rPr>
      </w:pPr>
      <w:r>
        <w:rPr>
          <w:rFonts w:ascii="Arial" w:cs="Arial" w:eastAsia="Arial" w:hAnsi="Arial"/>
          <w:sz w:val="16"/>
          <w:szCs w:val="16"/>
          <w:color w:val="auto"/>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spacing w:after="0" w:line="68" w:lineRule="exact"/>
        <w:rPr>
          <w:sz w:val="20"/>
          <w:szCs w:val="20"/>
          <w:color w:val="auto"/>
        </w:rPr>
      </w:pPr>
    </w:p>
    <w:p>
      <w:pPr>
        <w:ind w:right="200" w:firstLine="434"/>
        <w:spacing w:after="0" w:line="252" w:lineRule="auto"/>
        <w:rPr>
          <w:sz w:val="20"/>
          <w:szCs w:val="20"/>
          <w:color w:val="auto"/>
        </w:rPr>
      </w:pPr>
      <w:r>
        <w:rPr>
          <w:rFonts w:ascii="Arial" w:cs="Arial" w:eastAsia="Arial" w:hAnsi="Arial"/>
          <w:sz w:val="18"/>
          <w:szCs w:val="18"/>
          <w:color w:val="auto"/>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spacing w:after="0" w:line="110"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Effective May 9, 2023, the Company’s joint venture in Country Club Plaza defaulted on the $295,210 ($147,605 at the Company’s pro rata share) non-recourse loan on the property. The Company’s joint venture is in negotiations with the lender on the terms of the loan.</w:t>
      </w:r>
    </w:p>
    <w:p>
      <w:pPr>
        <w:spacing w:after="0" w:line="115"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The Company previously recorded an impairment loss of $50,197, at the Company’s share, during the three months ending March 31, 2023 as a result of shortening the holding periods on these parcels. Upon the closing of this transaction, the Company recorded an additional loss of $1,166, at the Company’s share, during the three months ending June 30, 2023. Effective as of May 18, 2023, the Company now owns and has consolidated its 100% interest in these five former Sears parcels in its consolidated financial statements (See Note 15—Acquisitions).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Balance Sheets of Unconsolidated Joint Ventures: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35"/>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Assets(1):</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Property, net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7,925,379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8,156,632</w:t>
            </w: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674,038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664,036</w:t>
            </w:r>
          </w:p>
        </w:tc>
      </w:tr>
      <w:tr>
        <w:trPr>
          <w:trHeight w:val="230"/>
        </w:trPr>
        <w:tc>
          <w:tcPr>
            <w:tcW w:w="20" w:type="dxa"/>
            <w:vAlign w:val="bottom"/>
          </w:tcPr>
          <w:p>
            <w:pPr>
              <w:spacing w:after="0"/>
              <w:rPr>
                <w:sz w:val="20"/>
                <w:szCs w:val="20"/>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8,599,417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8,820,668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partners' capital(1):</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Mortgage and other notes payable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5,755,394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5,491,250</w:t>
            </w:r>
          </w:p>
        </w:tc>
      </w:tr>
      <w:tr>
        <w:trPr>
          <w:trHeight w:val="237"/>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451,511</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Company's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1,263,903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1,528,348</w:t>
            </w: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Outside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1,119,212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1,349,559</w:t>
            </w:r>
          </w:p>
        </w:tc>
      </w:tr>
      <w:tr>
        <w:trPr>
          <w:trHeight w:val="230"/>
        </w:trPr>
        <w:tc>
          <w:tcPr>
            <w:tcW w:w="20" w:type="dxa"/>
            <w:vAlign w:val="bottom"/>
          </w:tcPr>
          <w:p>
            <w:pPr>
              <w:spacing w:after="0"/>
              <w:rPr>
                <w:sz w:val="20"/>
                <w:szCs w:val="20"/>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8,599,417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8,820,668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joint ventures: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Company's capital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1,263,903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1,528,348</w:t>
            </w:r>
          </w:p>
        </w:tc>
      </w:tr>
      <w:tr>
        <w:trPr>
          <w:trHeight w:val="237"/>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Basis adjustment(2)</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(424,820)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(425,153)</w:t>
            </w:r>
          </w:p>
        </w:tc>
      </w:tr>
      <w:tr>
        <w:trPr>
          <w:trHeight w:val="217"/>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839,083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1,103,195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Assets—Investments in unconsolidated joint ventures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1,034,181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1,224,288</w:t>
            </w:r>
          </w:p>
        </w:tc>
      </w:tr>
      <w:tr>
        <w:trPr>
          <w:trHeight w:val="237"/>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Liabilities—Distributions in excess of investments in unconsolidated joint ventures</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(195,098)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(121,093)</w:t>
            </w:r>
          </w:p>
        </w:tc>
      </w:tr>
      <w:tr>
        <w:trPr>
          <w:trHeight w:val="217"/>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839,083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1,103,195</w:t>
            </w: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57" w:lineRule="exact"/>
        <w:rPr>
          <w:sz w:val="20"/>
          <w:szCs w:val="20"/>
          <w:color w:val="auto"/>
        </w:rPr>
      </w:pPr>
    </w:p>
    <w:p>
      <w:pPr>
        <w:ind w:left="400" w:right="340" w:hanging="395"/>
        <w:spacing w:after="0" w:line="281" w:lineRule="auto"/>
        <w:tabs>
          <w:tab w:leader="none" w:pos="342"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amounts include assets of $2,655,745 and $2,690,651 of Pacific Premier Retail LLC (the "PPR Portfolio") as of June 30, 2023 and December 31, 2022, respectively, and liabilities of $1,601,209 and $1,611,661 of the PPR Portfolio as of June 30, 2023 and December 31, 2022, respectively.</w:t>
      </w:r>
    </w:p>
    <w:p>
      <w:pPr>
        <w:spacing w:after="0" w:line="96" w:lineRule="exact"/>
        <w:rPr>
          <w:rFonts w:ascii="Arial" w:cs="Arial" w:eastAsia="Arial" w:hAnsi="Arial"/>
          <w:sz w:val="14"/>
          <w:szCs w:val="14"/>
          <w:color w:val="auto"/>
        </w:rPr>
      </w:pPr>
    </w:p>
    <w:p>
      <w:pPr>
        <w:ind w:left="340" w:hanging="335"/>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amortizes the difference between the cost of its investments in unconsolidated joint ventures and the book value of the underlying equity into (loss) income on a straight-line basis</w:t>
      </w:r>
    </w:p>
    <w:p>
      <w:pPr>
        <w:spacing w:after="0" w:line="72" w:lineRule="exact"/>
        <w:rPr>
          <w:sz w:val="20"/>
          <w:szCs w:val="20"/>
          <w:color w:val="auto"/>
        </w:rPr>
      </w:pPr>
    </w:p>
    <w:p>
      <w:pPr>
        <w:ind w:left="400" w:right="20"/>
        <w:spacing w:after="0" w:line="281" w:lineRule="auto"/>
        <w:rPr>
          <w:sz w:val="20"/>
          <w:szCs w:val="20"/>
          <w:color w:val="auto"/>
        </w:rPr>
      </w:pPr>
      <w:r>
        <w:rPr>
          <w:rFonts w:ascii="Arial" w:cs="Arial" w:eastAsia="Arial" w:hAnsi="Arial"/>
          <w:sz w:val="14"/>
          <w:szCs w:val="14"/>
          <w:color w:val="auto"/>
        </w:rPr>
        <w:t>consistent with the lives of the underlying assets. The amortization of this difference was $1,106 and $2,295 for the three months ended June 30, 2023 and 2022, respectively, and $(11,448) and $4,870 for the six months ended June 30, 2023 and 2022, respectively.</w:t>
      </w: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13" w:name="page14"/>
    <w:bookmarkEnd w:id="13"/>
    <w:p>
      <w:pPr>
        <w:jc w:val="center"/>
        <w:ind w:right="-539"/>
        <w:spacing w:after="0"/>
        <w:rPr>
          <w:sz w:val="20"/>
          <w:szCs w:val="20"/>
          <w:color w:val="auto"/>
        </w:rPr>
      </w:pPr>
      <w:r>
        <w:rPr>
          <w:rFonts w:ascii="Arial" w:cs="Arial" w:eastAsia="Arial" w:hAnsi="Arial"/>
          <w:sz w:val="18"/>
          <w:szCs w:val="18"/>
          <w:b w:val="1"/>
          <w:bCs w:val="1"/>
          <w:color w:val="auto"/>
        </w:rPr>
        <w:t>THE MACERICH COMPANY</w:t>
      </w:r>
    </w:p>
    <w:p>
      <w:pPr>
        <w:spacing w:after="0" w:line="13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PPR Portfolio</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89"/>
              </w:rPr>
              <w:t>Joint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Ventures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Three Months Ended June 30, 2023</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42,095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168,389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210,484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176,010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218,601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59,540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69,815</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72,638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85,561</w:t>
            </w:r>
          </w:p>
        </w:tc>
        <w:tc>
          <w:tcPr>
            <w:tcW w:w="0" w:type="dxa"/>
            <w:vAlign w:val="bottom"/>
          </w:tcPr>
          <w:p>
            <w:pPr>
              <w:spacing w:after="0"/>
              <w:rPr>
                <w:sz w:val="1"/>
                <w:szCs w:val="1"/>
                <w:color w:val="auto"/>
              </w:rPr>
            </w:pP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175,013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229,892</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(12,288)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Company's equity in net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Three Months Ended June 30, 2022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48,339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168,827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217,166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7"/>
        </w:trPr>
        <w:tc>
          <w:tcPr>
            <w:tcW w:w="516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48,394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171,593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219,987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65,504</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51,960</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90,444</w:t>
            </w:r>
          </w:p>
        </w:tc>
        <w:tc>
          <w:tcPr>
            <w:tcW w:w="0" w:type="dxa"/>
            <w:vAlign w:val="bottom"/>
          </w:tcPr>
          <w:p>
            <w:pPr>
              <w:spacing w:after="0"/>
              <w:rPr>
                <w:sz w:val="1"/>
                <w:szCs w:val="1"/>
                <w:color w:val="auto"/>
              </w:rPr>
            </w:pPr>
          </w:p>
        </w:tc>
      </w:tr>
      <w:tr>
        <w:trPr>
          <w:trHeight w:val="217"/>
        </w:trPr>
        <w:tc>
          <w:tcPr>
            <w:tcW w:w="516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209,473</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or write down of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14,252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Company's equity in net income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00"/>
          </w:cols>
          <w:pgMar w:left="320" w:top="266" w:right="87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9"/>
              </w:rPr>
              <w:t>PPR Portfolio</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5"/>
              <w:spacing w:after="0" w:line="141" w:lineRule="exact"/>
              <w:rPr>
                <w:sz w:val="20"/>
                <w:szCs w:val="20"/>
                <w:color w:val="auto"/>
              </w:rPr>
            </w:pPr>
            <w:r>
              <w:rPr>
                <w:rFonts w:ascii="Arial" w:cs="Arial" w:eastAsia="Arial" w:hAnsi="Arial"/>
                <w:sz w:val="14"/>
                <w:szCs w:val="14"/>
                <w:b w:val="1"/>
                <w:bCs w:val="1"/>
                <w:color w:val="auto"/>
                <w:w w:val="95"/>
              </w:rPr>
              <w:t>Joint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6"/>
              </w:rPr>
              <w:t>Ventures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Six Months Ended June 30, 2023</w:t>
            </w:r>
          </w:p>
        </w:tc>
        <w:tc>
          <w:tcPr>
            <w:tcW w:w="1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Leasing revenue</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85,166</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331,757</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416,923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426,386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Shopping center and operating expenses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141,332</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 expenses</w:t>
            </w: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136,743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170,943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452,938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Loss on sale or write down of assets, net</w:t>
            </w:r>
          </w:p>
        </w:tc>
        <w:tc>
          <w:tcPr>
            <w:tcW w:w="1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(71,651)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(71,651)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(25,190)</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(73,013)</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(98,203)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Pr>
          <w:p>
            <w:pPr>
              <w:spacing w:after="0"/>
              <w:rPr>
                <w:sz w:val="20"/>
                <w:szCs w:val="20"/>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equity in net loss</w:t>
            </w:r>
          </w:p>
        </w:tc>
        <w:tc>
          <w:tcPr>
            <w:tcW w:w="1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(58,055)</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Six Months Ended June 30, 2022</w:t>
            </w: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Leasing revenue</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92,189</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323,993</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416,182</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426,406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Shopping center and operating expenses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134,089</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 expenses</w:t>
            </w: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103,078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179,897</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420,419</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or write down of assets, net</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(8,625)</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(42,047)</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(50,672)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equity in net loss</w:t>
            </w: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(22,744)</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15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54"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The Company uses interest rate cap agreements to manage the interest rate risk on certain floating rate debt. The Company recorded other comprehensive income related to the marking-to-market of derivative instruments of $350 and $9 for the three months ended June 30, 2023 and 2022, respectively, an</w:t>
      </w:r>
      <w:r>
        <w:rPr>
          <w:rFonts w:ascii="Arial" w:cs="Arial" w:eastAsia="Arial" w:hAnsi="Arial"/>
          <w:sz w:val="13"/>
          <w:szCs w:val="13"/>
          <w:color w:val="auto"/>
        </w:rPr>
        <w:t>d</w:t>
      </w:r>
      <w:r>
        <w:rPr>
          <w:rFonts w:ascii="Arial" w:cs="Arial" w:eastAsia="Arial" w:hAnsi="Arial"/>
          <w:sz w:val="16"/>
          <w:szCs w:val="16"/>
          <w:color w:val="auto"/>
        </w:rPr>
        <w:t xml:space="preserve"> $470 and $40 for the six months ended June 30, 2023 and 2022, respectively. The entire $470 in other comprehensive income at June 30, 2023 is the Company's pro rata share of hedged derivative instruments from certain unconsolidated joint ventures.</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derivatives were outstanding at June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4"/>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1"/>
                <w:szCs w:val="11"/>
                <w:color w:val="auto"/>
              </w:rPr>
            </w:pP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Designation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7"/>
              </w:rPr>
              <w:t>Notional Amount</w:t>
            </w:r>
          </w:p>
        </w:tc>
        <w:tc>
          <w:tcPr>
            <w:tcW w:w="120" w:type="dxa"/>
            <w:vAlign w:val="bottom"/>
          </w:tcPr>
          <w:p>
            <w:pPr>
              <w:spacing w:after="0"/>
              <w:rPr>
                <w:sz w:val="11"/>
                <w:szCs w:val="11"/>
                <w:color w:val="auto"/>
              </w:rPr>
            </w:pP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1"/>
                <w:szCs w:val="11"/>
                <w:color w:val="auto"/>
              </w:rPr>
            </w:pPr>
          </w:p>
        </w:tc>
        <w:tc>
          <w:tcPr>
            <w:tcW w:w="10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LIBOR Rate</w:t>
            </w:r>
          </w:p>
        </w:tc>
        <w:tc>
          <w:tcPr>
            <w:tcW w:w="10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1"/>
                <w:szCs w:val="11"/>
                <w:color w:val="auto"/>
              </w:rPr>
            </w:pPr>
          </w:p>
        </w:tc>
        <w:tc>
          <w:tcPr>
            <w:tcW w:w="1020" w:type="dxa"/>
            <w:vAlign w:val="bottom"/>
          </w:tcPr>
          <w:p>
            <w:pPr>
              <w:jc w:val="center"/>
              <w:ind w:right="206"/>
              <w:spacing w:after="0" w:line="134"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1060" w:type="dxa"/>
            <w:vAlign w:val="bottom"/>
          </w:tcPr>
          <w:p>
            <w:pPr>
              <w:jc w:val="center"/>
              <w:ind w:right="86"/>
              <w:spacing w:after="0" w:line="134"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3"/>
        </w:trPr>
        <w:tc>
          <w:tcPr>
            <w:tcW w:w="2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4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1060" w:type="dxa"/>
            <w:vAlign w:val="bottom"/>
          </w:tcPr>
          <w:p>
            <w:pPr>
              <w:jc w:val="right"/>
              <w:ind w:right="38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Non-Hedged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12/9/2023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1,858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04"/>
        </w:trPr>
        <w:tc>
          <w:tcPr>
            <w:tcW w:w="2520" w:type="dxa"/>
            <w:vAlign w:val="bottom"/>
          </w:tcPr>
          <w:p>
            <w:pPr>
              <w:ind w:left="20"/>
              <w:spacing w:after="0"/>
              <w:rPr>
                <w:sz w:val="20"/>
                <w:szCs w:val="20"/>
                <w:color w:val="auto"/>
              </w:rPr>
            </w:pPr>
            <w:r>
              <w:rPr>
                <w:rFonts w:ascii="Arial" w:cs="Arial" w:eastAsia="Arial" w:hAnsi="Arial"/>
                <w:sz w:val="16"/>
                <w:szCs w:val="16"/>
                <w:color w:val="auto"/>
              </w:rPr>
              <w:t>The Macerich Partnership, L.P.</w:t>
            </w:r>
          </w:p>
        </w:tc>
        <w:tc>
          <w:tcPr>
            <w:tcW w:w="10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Non-Hedged</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Sold Cap</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4.00 %</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12/9/2023</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(1,855)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160" w:firstLine="434"/>
        <w:spacing w:after="0" w:line="286" w:lineRule="auto"/>
        <w:rPr>
          <w:sz w:val="20"/>
          <w:szCs w:val="20"/>
          <w:color w:val="auto"/>
        </w:rPr>
      </w:pPr>
      <w:r>
        <w:rPr>
          <w:rFonts w:ascii="Arial" w:cs="Arial" w:eastAsia="Arial" w:hAnsi="Arial"/>
          <w:sz w:val="16"/>
          <w:szCs w:val="16"/>
          <w:color w:val="auto"/>
        </w:rPr>
        <w:t>The above derivatives were valued with an aggregate fair value (Level 2 measurement) and were included in other assets (other accrued liabilities). The fair value of the Company's interest rate derivatives was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00"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caps. As a result, the Company determined that its interest rate cap valuations in their entirety are classified in Level 2 of the fair value hierarchy.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net consists of the following:</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90"/>
        </w:trPr>
        <w:tc>
          <w:tcPr>
            <w:tcW w:w="6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1,407,975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1,425,211</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6,269,212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6,378,736</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711,007</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Equipment and furnishings(1)</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186,767</w:t>
            </w:r>
          </w:p>
        </w:tc>
      </w:tr>
      <w:tr>
        <w:trPr>
          <w:trHeight w:val="22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218,859</w:t>
            </w:r>
          </w:p>
        </w:tc>
      </w:tr>
      <w:tr>
        <w:trPr>
          <w:trHeight w:val="223"/>
        </w:trPr>
        <w:tc>
          <w:tcPr>
            <w:tcW w:w="6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8,990,712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8,920,580</w:t>
            </w: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depreciation(1)</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(2,850,773)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(2,792,790)</w:t>
            </w:r>
          </w:p>
        </w:tc>
      </w:tr>
      <w:tr>
        <w:trPr>
          <w:trHeight w:val="217"/>
        </w:trPr>
        <w:tc>
          <w:tcPr>
            <w:tcW w:w="6680" w:type="dxa"/>
            <w:vAlign w:val="bottom"/>
          </w:tcPr>
          <w:p>
            <w:pPr>
              <w:spacing w:after="0"/>
              <w:rPr>
                <w:sz w:val="18"/>
                <w:szCs w:val="18"/>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6,139,939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6,127,790</w:t>
            </w:r>
          </w:p>
        </w:tc>
      </w:tr>
      <w:tr>
        <w:trPr>
          <w:trHeight w:val="20"/>
        </w:trPr>
        <w:tc>
          <w:tcPr>
            <w:tcW w:w="6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1100" w:right="440" w:hanging="464"/>
        <w:spacing w:after="0" w:line="281" w:lineRule="auto"/>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Equipment and furnishings and accumulated depreciation include the cost and accumulated amortization of ROU assets in connection with finance leases at June 30, 2023 and December 31, 2022 (See Note 8—Leases).</w:t>
      </w:r>
    </w:p>
    <w:p>
      <w:pPr>
        <w:spacing w:after="0" w:line="102" w:lineRule="exact"/>
        <w:rPr>
          <w:sz w:val="20"/>
          <w:szCs w:val="20"/>
          <w:color w:val="auto"/>
        </w:rPr>
      </w:pPr>
    </w:p>
    <w:p>
      <w:pPr>
        <w:ind w:right="100" w:firstLine="434"/>
        <w:spacing w:after="0" w:line="261" w:lineRule="auto"/>
        <w:rPr>
          <w:sz w:val="20"/>
          <w:szCs w:val="20"/>
          <w:color w:val="auto"/>
        </w:rPr>
      </w:pPr>
      <w:r>
        <w:rPr>
          <w:rFonts w:ascii="Arial" w:cs="Arial" w:eastAsia="Arial" w:hAnsi="Arial"/>
          <w:sz w:val="18"/>
          <w:szCs w:val="18"/>
          <w:color w:val="auto"/>
        </w:rPr>
        <w:t>Depreciation expense was $66,162 and $67,394 for the three months ended June 30, 2023 and 2022, respectively, and $133,225 and $135,179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(loss) on sale or write-down of assets, net for the three and six months ended June 30, 2023 and 2022 consist of the following:</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2"/>
              </w:rPr>
              <w:t>For the Three Months Ended June 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w w:val="90"/>
              </w:rPr>
              <w:t>For the Six Months Ended June 30,</w:t>
            </w:r>
          </w:p>
        </w:tc>
      </w:tr>
      <w:tr>
        <w:trPr>
          <w:trHeight w:val="189"/>
        </w:trPr>
        <w:tc>
          <w:tcPr>
            <w:tcW w:w="5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property sales, net(1)</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Loss on write-down of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(9,858)</w:t>
            </w:r>
          </w:p>
        </w:tc>
      </w:tr>
      <w:tr>
        <w:trPr>
          <w:trHeight w:val="23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land sales, net(1)</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15,147</w:t>
            </w:r>
          </w:p>
        </w:tc>
      </w:tr>
      <w:tr>
        <w:trPr>
          <w:trHeight w:val="217"/>
        </w:trPr>
        <w:tc>
          <w:tcPr>
            <w:tcW w:w="54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10,279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14,058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5,362</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1000" w:hanging="364"/>
        <w:spacing w:after="0"/>
        <w:tabs>
          <w:tab w:leader="none" w:pos="1000" w:val="left"/>
        </w:tabs>
        <w:numPr>
          <w:ilvl w:val="1"/>
          <w:numId w:val="7"/>
        </w:numPr>
        <w:rPr>
          <w:rFonts w:ascii="Arial" w:cs="Arial" w:eastAsia="Arial" w:hAnsi="Arial"/>
          <w:sz w:val="14"/>
          <w:szCs w:val="14"/>
          <w:color w:val="auto"/>
        </w:rPr>
      </w:pPr>
      <w:r>
        <w:rPr>
          <w:rFonts w:ascii="Arial" w:cs="Arial" w:eastAsia="Arial" w:hAnsi="Arial"/>
          <w:sz w:val="14"/>
          <w:szCs w:val="14"/>
          <w:color w:val="auto"/>
        </w:rPr>
        <w:t>See Note 16—Dispositions.</w:t>
      </w:r>
    </w:p>
    <w:p>
      <w:pPr>
        <w:spacing w:after="0" w:line="154" w:lineRule="exact"/>
        <w:rPr>
          <w:rFonts w:ascii="Arial" w:cs="Arial" w:eastAsia="Arial" w:hAnsi="Arial"/>
          <w:sz w:val="14"/>
          <w:szCs w:val="14"/>
          <w:color w:val="auto"/>
        </w:rPr>
      </w:pPr>
    </w:p>
    <w:p>
      <w:pPr>
        <w:ind w:left="180" w:hanging="175"/>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Tenant and Other Receivables, net:</w:t>
      </w:r>
    </w:p>
    <w:p>
      <w:pPr>
        <w:spacing w:after="0" w:line="141" w:lineRule="exact"/>
        <w:rPr>
          <w:sz w:val="20"/>
          <w:szCs w:val="20"/>
          <w:color w:val="auto"/>
        </w:rPr>
      </w:pPr>
    </w:p>
    <w:p>
      <w:pPr>
        <w:ind w:right="180" w:firstLine="434"/>
        <w:spacing w:after="0" w:line="249" w:lineRule="auto"/>
        <w:rPr>
          <w:sz w:val="20"/>
          <w:szCs w:val="20"/>
          <w:color w:val="auto"/>
        </w:rPr>
      </w:pPr>
      <w:r>
        <w:rPr>
          <w:rFonts w:ascii="Arial" w:cs="Arial" w:eastAsia="Arial" w:hAnsi="Arial"/>
          <w:sz w:val="18"/>
          <w:szCs w:val="18"/>
          <w:color w:val="auto"/>
        </w:rPr>
        <w:t>Included in tenant and other receivables, net is an allowance for doubtful accounts of $7,064 and $10,741 at June 30, 2023 and December 31, 2022, respectively. Also included in tenant and other receivables, net are accrued percentage rents of $1,596 and $18,010 at June 30, 2023 and December 31, 2022, respectively, and a deferred rent receivable due to straight-line rent adjustments of $107,396 and $110,155 at June 30, 2023 and December 31, 2022,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Lessor Leases:</w:t>
      </w:r>
    </w:p>
    <w:p>
      <w:pPr>
        <w:spacing w:after="0" w:line="135"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components of leasing revenue for the three and six months ended June 30, 2023 and 2022:</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16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For the Three Months Ended June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w w:val="90"/>
              </w:rPr>
              <w:t>For the Six Months Ended June</w:t>
            </w:r>
          </w:p>
        </w:tc>
      </w:tr>
      <w:tr>
        <w:trPr>
          <w:trHeight w:val="190"/>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revenue—fixed payments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281,753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270,257</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Leasing revenue—variable payments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108,298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120,869</w:t>
            </w:r>
          </w:p>
        </w:tc>
      </w:tr>
      <w:tr>
        <w:trPr>
          <w:trHeight w:val="22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Recovery of doubtful accounts, net</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444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192,653</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391,698</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392,002</w:t>
            </w:r>
          </w:p>
        </w:tc>
      </w:tr>
      <w:tr>
        <w:trPr>
          <w:trHeight w:val="26"/>
        </w:trPr>
        <w:tc>
          <w:tcPr>
            <w:tcW w:w="44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800" w:type="dxa"/>
            <w:vAlign w:val="bottom"/>
          </w:tcPr>
          <w:p>
            <w:pPr>
              <w:ind w:left="4740"/>
              <w:spacing w:after="0"/>
              <w:rPr>
                <w:sz w:val="20"/>
                <w:szCs w:val="20"/>
                <w:color w:val="auto"/>
              </w:rPr>
            </w:pPr>
            <w:r>
              <w:rPr>
                <w:rFonts w:ascii="Arial" w:cs="Arial" w:eastAsia="Arial" w:hAnsi="Arial"/>
                <w:sz w:val="18"/>
                <w:szCs w:val="18"/>
                <w:b w:val="1"/>
                <w:bCs w:val="1"/>
                <w:color w:val="auto"/>
              </w:rPr>
              <w:t>(Unaudited)</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55"/>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8. Leases: (Continued)</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23"/>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The following table summarizes the future rental payments to the Company:</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5"/>
        </w:trPr>
        <w:tc>
          <w:tcPr>
            <w:tcW w:w="440" w:type="dxa"/>
            <w:vAlign w:val="bottom"/>
          </w:tcPr>
          <w:p>
            <w:pPr>
              <w:spacing w:after="0"/>
              <w:rPr>
                <w:sz w:val="24"/>
                <w:szCs w:val="24"/>
                <w:color w:val="auto"/>
              </w:rPr>
            </w:pP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Twelve months ending June 30,</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44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410,047</w:t>
            </w:r>
          </w:p>
        </w:tc>
      </w:tr>
      <w:tr>
        <w:trPr>
          <w:trHeight w:val="230"/>
        </w:trPr>
        <w:tc>
          <w:tcPr>
            <w:tcW w:w="7240" w:type="dxa"/>
            <w:vAlign w:val="bottom"/>
            <w:gridSpan w:val="2"/>
          </w:tcPr>
          <w:p>
            <w:pPr>
              <w:ind w:left="46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345,032</w:t>
            </w:r>
          </w:p>
        </w:tc>
      </w:tr>
      <w:tr>
        <w:trPr>
          <w:trHeight w:val="230"/>
        </w:trPr>
        <w:tc>
          <w:tcPr>
            <w:tcW w:w="440" w:type="dxa"/>
            <w:vAlign w:val="bottom"/>
          </w:tcPr>
          <w:p>
            <w:pPr>
              <w:spacing w:after="0"/>
              <w:rPr>
                <w:sz w:val="20"/>
                <w:szCs w:val="20"/>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278,745</w:t>
            </w:r>
          </w:p>
        </w:tc>
      </w:tr>
      <w:tr>
        <w:trPr>
          <w:trHeight w:val="223"/>
        </w:trPr>
        <w:tc>
          <w:tcPr>
            <w:tcW w:w="7240" w:type="dxa"/>
            <w:vAlign w:val="bottom"/>
            <w:gridSpan w:val="2"/>
          </w:tcPr>
          <w:p>
            <w:pPr>
              <w:ind w:left="46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219,212</w:t>
            </w:r>
          </w:p>
        </w:tc>
      </w:tr>
      <w:tr>
        <w:trPr>
          <w:trHeight w:val="237"/>
        </w:trPr>
        <w:tc>
          <w:tcPr>
            <w:tcW w:w="440" w:type="dxa"/>
            <w:vAlign w:val="bottom"/>
          </w:tcPr>
          <w:p>
            <w:pPr>
              <w:spacing w:after="0"/>
              <w:rPr>
                <w:sz w:val="20"/>
                <w:szCs w:val="20"/>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164,721</w:t>
            </w:r>
          </w:p>
        </w:tc>
      </w:tr>
      <w:tr>
        <w:trPr>
          <w:trHeight w:val="223"/>
        </w:trPr>
        <w:tc>
          <w:tcPr>
            <w:tcW w:w="44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520,209</w:t>
            </w:r>
          </w:p>
        </w:tc>
      </w:tr>
      <w:tr>
        <w:trPr>
          <w:trHeight w:val="237"/>
        </w:trPr>
        <w:tc>
          <w:tcPr>
            <w:tcW w:w="44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1,937,966</w:t>
            </w:r>
          </w:p>
        </w:tc>
      </w:tr>
      <w:tr>
        <w:trPr>
          <w:trHeight w:val="20"/>
        </w:trPr>
        <w:tc>
          <w:tcPr>
            <w:tcW w:w="44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Lessee Leases:</w:t>
      </w:r>
    </w:p>
    <w:p>
      <w:pPr>
        <w:spacing w:after="0" w:line="148"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The Company has certain properties that are subject to non-cancelable operating leases. The leases expire at various times through 2075,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lease costs for the three and six months ended June 30, 2023 and 2022:</w:t>
      </w:r>
    </w:p>
    <w:p>
      <w:pPr>
        <w:spacing w:after="0" w:line="14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For the Three Months Ended June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w w:val="89"/>
              </w:rPr>
              <w:t>For the Six Months Ended June</w:t>
            </w:r>
          </w:p>
        </w:tc>
      </w:tr>
      <w:tr>
        <w:trPr>
          <w:trHeight w:val="183"/>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5"/>
                <w:szCs w:val="15"/>
                <w:color w:val="auto"/>
              </w:rPr>
            </w:pPr>
          </w:p>
        </w:tc>
      </w:tr>
      <w:tr>
        <w:trPr>
          <w:trHeight w:val="24"/>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7"/>
        </w:trPr>
        <w:tc>
          <w:tcPr>
            <w:tcW w:w="4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4"/>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36"/>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37"/>
        </w:trPr>
        <w:tc>
          <w:tcPr>
            <w:tcW w:w="4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future rental payments required under the leases: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376"/>
              <w:spacing w:after="0" w:line="12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2"/>
              </w:rPr>
              <w:t>Finance Leases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0"/>
              </w:rPr>
              <w:t>Operating Leases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2"/>
              </w:rPr>
              <w:t>Finance Leases</w:t>
            </w:r>
          </w:p>
        </w:tc>
        <w:tc>
          <w:tcPr>
            <w:tcW w:w="0" w:type="dxa"/>
            <w:vAlign w:val="bottom"/>
          </w:tcPr>
          <w:p>
            <w:pPr>
              <w:spacing w:after="0"/>
              <w:rPr>
                <w:sz w:val="1"/>
                <w:szCs w:val="1"/>
                <w:color w:val="auto"/>
              </w:rPr>
            </w:pPr>
          </w:p>
        </w:tc>
      </w:tr>
      <w:tr>
        <w:trPr>
          <w:trHeight w:val="188"/>
        </w:trPr>
        <w:tc>
          <w:tcPr>
            <w:tcW w:w="3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5,999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2,450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12,255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3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11,391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9,478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11,563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9,478</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11,574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11,746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11,864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11,862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12,035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83,083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109,158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undiscounted rental payments</w:t>
            </w:r>
          </w:p>
        </w:tc>
        <w:tc>
          <w:tcPr>
            <w:tcW w:w="260" w:type="dxa"/>
            <w:vAlign w:val="bottom"/>
          </w:tcPr>
          <w:p>
            <w:pPr>
              <w:spacing w:after="0"/>
              <w:rPr>
                <w:sz w:val="18"/>
                <w:szCs w:val="18"/>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135,600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168,621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37"/>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(58,839)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(86,315)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7"/>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76,761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11,412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82,306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years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years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years</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Weighted average incremental borrowing rate</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26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w:t>
      </w:r>
    </w:p>
    <w:p>
      <w:pPr>
        <w:spacing w:after="0" w:line="200" w:lineRule="exact"/>
        <w:rPr>
          <w:sz w:val="20"/>
          <w:szCs w:val="20"/>
          <w:color w:val="auto"/>
        </w:rPr>
      </w:pPr>
    </w:p>
    <w:p>
      <w:pPr>
        <w:spacing w:after="0" w:line="3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3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4"/>
        </w:trPr>
        <w:tc>
          <w:tcPr>
            <w:tcW w:w="34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113,400</w:t>
            </w:r>
          </w:p>
        </w:tc>
      </w:tr>
      <w:tr>
        <w:trPr>
          <w:trHeight w:val="223"/>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7"/>
        </w:trPr>
        <w:tc>
          <w:tcPr>
            <w:tcW w:w="6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In-place lease values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63,961</w:t>
            </w:r>
          </w:p>
        </w:tc>
      </w:tr>
      <w:tr>
        <w:trPr>
          <w:trHeight w:val="223"/>
        </w:trPr>
        <w:tc>
          <w:tcPr>
            <w:tcW w:w="6700" w:type="dxa"/>
            <w:vAlign w:val="bottom"/>
            <w:gridSpan w:val="3"/>
          </w:tcPr>
          <w:p>
            <w:pPr>
              <w:ind w:left="140"/>
              <w:spacing w:after="0"/>
              <w:rPr>
                <w:sz w:val="20"/>
                <w:szCs w:val="20"/>
                <w:color w:val="auto"/>
              </w:rPr>
            </w:pPr>
            <w:r>
              <w:rPr>
                <w:rFonts w:ascii="Arial" w:cs="Arial" w:eastAsia="Arial" w:hAnsi="Arial"/>
                <w:sz w:val="18"/>
                <w:szCs w:val="18"/>
                <w:color w:val="auto"/>
              </w:rPr>
              <w:t>Leasing commissions and legal costs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17,299</w:t>
            </w:r>
          </w:p>
        </w:tc>
      </w:tr>
      <w:tr>
        <w:trPr>
          <w:trHeight w:val="224"/>
        </w:trPr>
        <w:tc>
          <w:tcPr>
            <w:tcW w:w="6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Above-market leases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71,304</w:t>
            </w:r>
          </w:p>
        </w:tc>
      </w:tr>
      <w:tr>
        <w:trPr>
          <w:trHeight w:val="230"/>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23,114</w:t>
            </w:r>
          </w:p>
        </w:tc>
      </w:tr>
      <w:tr>
        <w:trPr>
          <w:trHeight w:val="23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54,353</w:t>
            </w:r>
          </w:p>
        </w:tc>
      </w:tr>
      <w:tr>
        <w:trPr>
          <w:trHeight w:val="223"/>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66,188</w:t>
            </w:r>
          </w:p>
        </w:tc>
      </w:tr>
      <w:tr>
        <w:trPr>
          <w:trHeight w:val="230"/>
        </w:trPr>
        <w:tc>
          <w:tcPr>
            <w:tcW w:w="340" w:type="dxa"/>
            <w:vAlign w:val="bottom"/>
            <w:shd w:val="clear" w:color="auto" w:fill="CCEEFF"/>
          </w:tcPr>
          <w:p>
            <w:pPr>
              <w:spacing w:after="0"/>
              <w:rPr>
                <w:sz w:val="20"/>
                <w:szCs w:val="20"/>
                <w:color w:val="auto"/>
              </w:rPr>
            </w:pPr>
          </w:p>
        </w:tc>
        <w:tc>
          <w:tcPr>
            <w:tcW w:w="6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409,619</w:t>
            </w:r>
          </w:p>
        </w:tc>
      </w:tr>
      <w:tr>
        <w:trPr>
          <w:trHeight w:val="223"/>
        </w:trPr>
        <w:tc>
          <w:tcPr>
            <w:tcW w:w="6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accumulated amortization(1)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(162,195)</w:t>
            </w:r>
          </w:p>
        </w:tc>
      </w:tr>
      <w:tr>
        <w:trPr>
          <w:trHeight w:val="237"/>
        </w:trPr>
        <w:tc>
          <w:tcPr>
            <w:tcW w:w="340" w:type="dxa"/>
            <w:vAlign w:val="bottom"/>
            <w:shd w:val="clear" w:color="auto" w:fill="CCEEFF"/>
          </w:tcPr>
          <w:p>
            <w:pPr>
              <w:spacing w:after="0"/>
              <w:rPr>
                <w:sz w:val="20"/>
                <w:szCs w:val="20"/>
                <w:color w:val="auto"/>
              </w:rPr>
            </w:pPr>
          </w:p>
        </w:tc>
        <w:tc>
          <w:tcPr>
            <w:tcW w:w="6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245,471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247,424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6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65" w:lineRule="exact"/>
        <w:rPr>
          <w:sz w:val="20"/>
          <w:szCs w:val="20"/>
          <w:color w:val="auto"/>
        </w:rPr>
      </w:pPr>
    </w:p>
    <w:p>
      <w:pPr>
        <w:ind w:left="960" w:hanging="324"/>
        <w:spacing w:after="0" w:line="258" w:lineRule="auto"/>
        <w:tabs>
          <w:tab w:leader="none" w:pos="913" w:val="left"/>
        </w:tabs>
        <w:numPr>
          <w:ilvl w:val="0"/>
          <w:numId w:val="9"/>
        </w:numPr>
        <w:rPr>
          <w:rFonts w:ascii="Arial" w:cs="Arial" w:eastAsia="Arial" w:hAnsi="Arial"/>
          <w:sz w:val="14"/>
          <w:szCs w:val="14"/>
          <w:color w:val="auto"/>
        </w:rPr>
      </w:pPr>
      <w:r>
        <w:rPr>
          <w:rFonts w:ascii="Arial" w:cs="Arial" w:eastAsia="Arial" w:hAnsi="Arial"/>
          <w:sz w:val="14"/>
          <w:szCs w:val="14"/>
          <w:color w:val="auto"/>
        </w:rPr>
        <w:t>Accumulated amortization includes $41,022 and $44,362 relating to in-place lease values, leasing commissions and legal costs at June 30, 2023 and December 31, 2022, respectively. Amortization expense of in-place lease values, leasing commissions and legal costs was $1,876 and $1,664 for the three months ended June 30, 2023 and 2022, respectively, and $3,785 and $3,331 for the six months ended June 30, 2023 and 2022, respectively.</w:t>
      </w:r>
    </w:p>
    <w:p>
      <w:pPr>
        <w:spacing w:after="0" w:line="3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87"/>
              </w:rPr>
              <w:t>December 31,</w:t>
            </w:r>
          </w:p>
        </w:tc>
      </w:tr>
      <w:tr>
        <w:trPr>
          <w:trHeight w:val="188"/>
        </w:trPr>
        <w:tc>
          <w:tcPr>
            <w:tcW w:w="6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r>
      <w:tr>
        <w:trPr>
          <w:trHeight w:val="235"/>
        </w:trPr>
        <w:tc>
          <w:tcPr>
            <w:tcW w:w="620" w:type="dxa"/>
            <w:vAlign w:val="bottom"/>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Above-Market Leases</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3"/>
        </w:trPr>
        <w:tc>
          <w:tcPr>
            <w:tcW w:w="6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Original allocated value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77"/>
              <w:spacing w:after="0"/>
              <w:rPr>
                <w:sz w:val="20"/>
                <w:szCs w:val="20"/>
                <w:color w:val="auto"/>
              </w:rPr>
            </w:pPr>
            <w:r>
              <w:rPr>
                <w:rFonts w:ascii="Arial" w:cs="Arial" w:eastAsia="Arial" w:hAnsi="Arial"/>
                <w:sz w:val="18"/>
                <w:szCs w:val="18"/>
                <w:color w:val="auto"/>
                <w:w w:val="87"/>
              </w:rPr>
              <w:t>66,002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457"/>
              <w:spacing w:after="0"/>
              <w:rPr>
                <w:sz w:val="20"/>
                <w:szCs w:val="20"/>
                <w:color w:val="auto"/>
              </w:rPr>
            </w:pPr>
            <w:r>
              <w:rPr>
                <w:rFonts w:ascii="Arial" w:cs="Arial" w:eastAsia="Arial" w:hAnsi="Arial"/>
                <w:sz w:val="18"/>
                <w:szCs w:val="18"/>
                <w:color w:val="auto"/>
                <w:w w:val="87"/>
              </w:rPr>
              <w:t>71,304</w:t>
            </w:r>
          </w:p>
        </w:tc>
      </w:tr>
      <w:tr>
        <w:trPr>
          <w:trHeight w:val="224"/>
        </w:trPr>
        <w:tc>
          <w:tcPr>
            <w:tcW w:w="620" w:type="dxa"/>
            <w:vAlign w:val="bottom"/>
          </w:tcPr>
          <w:p>
            <w:pPr>
              <w:spacing w:after="0"/>
              <w:rPr>
                <w:sz w:val="19"/>
                <w:szCs w:val="19"/>
                <w:color w:val="auto"/>
              </w:rPr>
            </w:pPr>
          </w:p>
        </w:tc>
        <w:tc>
          <w:tcPr>
            <w:tcW w:w="6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89"/>
              </w:rPr>
              <w:t>(34,035)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89"/>
              </w:rPr>
              <w:t>(35,156)</w:t>
            </w:r>
          </w:p>
        </w:tc>
      </w:tr>
      <w:tr>
        <w:trPr>
          <w:trHeight w:val="223"/>
        </w:trPr>
        <w:tc>
          <w:tcPr>
            <w:tcW w:w="6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77"/>
              <w:spacing w:after="0"/>
              <w:rPr>
                <w:sz w:val="20"/>
                <w:szCs w:val="20"/>
                <w:color w:val="auto"/>
              </w:rPr>
            </w:pPr>
            <w:r>
              <w:rPr>
                <w:rFonts w:ascii="Arial" w:cs="Arial" w:eastAsia="Arial" w:hAnsi="Arial"/>
                <w:sz w:val="18"/>
                <w:szCs w:val="18"/>
                <w:color w:val="auto"/>
                <w:w w:val="87"/>
              </w:rPr>
              <w:t>31,967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457"/>
              <w:spacing w:after="0"/>
              <w:rPr>
                <w:sz w:val="20"/>
                <w:szCs w:val="20"/>
                <w:color w:val="auto"/>
              </w:rPr>
            </w:pPr>
            <w:r>
              <w:rPr>
                <w:rFonts w:ascii="Arial" w:cs="Arial" w:eastAsia="Arial" w:hAnsi="Arial"/>
                <w:sz w:val="18"/>
                <w:szCs w:val="18"/>
                <w:color w:val="auto"/>
                <w:w w:val="87"/>
              </w:rPr>
              <w:t>36,148</w:t>
            </w:r>
          </w:p>
        </w:tc>
      </w:tr>
      <w:tr>
        <w:trPr>
          <w:trHeight w:val="20"/>
        </w:trPr>
        <w:tc>
          <w:tcPr>
            <w:tcW w:w="620" w:type="dxa"/>
            <w:vAlign w:val="bottom"/>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Below-Market Leases(1)</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Original allocated value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77"/>
              <w:spacing w:after="0"/>
              <w:rPr>
                <w:sz w:val="20"/>
                <w:szCs w:val="20"/>
                <w:color w:val="auto"/>
              </w:rPr>
            </w:pPr>
            <w:r>
              <w:rPr>
                <w:rFonts w:ascii="Arial" w:cs="Arial" w:eastAsia="Arial" w:hAnsi="Arial"/>
                <w:sz w:val="18"/>
                <w:szCs w:val="18"/>
                <w:color w:val="auto"/>
                <w:w w:val="87"/>
              </w:rPr>
              <w:t>94,306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457"/>
              <w:spacing w:after="0"/>
              <w:rPr>
                <w:sz w:val="20"/>
                <w:szCs w:val="20"/>
                <w:color w:val="auto"/>
              </w:rPr>
            </w:pPr>
            <w:r>
              <w:rPr>
                <w:rFonts w:ascii="Arial" w:cs="Arial" w:eastAsia="Arial" w:hAnsi="Arial"/>
                <w:sz w:val="18"/>
                <w:szCs w:val="18"/>
                <w:color w:val="auto"/>
                <w:w w:val="87"/>
              </w:rPr>
              <w:t>97,026</w:t>
            </w:r>
          </w:p>
        </w:tc>
      </w:tr>
      <w:tr>
        <w:trPr>
          <w:trHeight w:val="237"/>
        </w:trPr>
        <w:tc>
          <w:tcPr>
            <w:tcW w:w="620" w:type="dxa"/>
            <w:vAlign w:val="bottom"/>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89"/>
              </w:rPr>
              <w:t>(42,227)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89"/>
              </w:rPr>
              <w:t>(40,797)</w:t>
            </w:r>
          </w:p>
        </w:tc>
      </w:tr>
      <w:tr>
        <w:trPr>
          <w:trHeight w:val="217"/>
        </w:trPr>
        <w:tc>
          <w:tcPr>
            <w:tcW w:w="6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77"/>
              <w:spacing w:after="0"/>
              <w:rPr>
                <w:sz w:val="20"/>
                <w:szCs w:val="20"/>
                <w:color w:val="auto"/>
              </w:rPr>
            </w:pPr>
            <w:r>
              <w:rPr>
                <w:rFonts w:ascii="Arial" w:cs="Arial" w:eastAsia="Arial" w:hAnsi="Arial"/>
                <w:sz w:val="18"/>
                <w:szCs w:val="18"/>
                <w:color w:val="auto"/>
                <w:w w:val="87"/>
              </w:rPr>
              <w:t>52,079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457"/>
              <w:spacing w:after="0"/>
              <w:rPr>
                <w:sz w:val="20"/>
                <w:szCs w:val="20"/>
                <w:color w:val="auto"/>
              </w:rPr>
            </w:pPr>
            <w:r>
              <w:rPr>
                <w:rFonts w:ascii="Arial" w:cs="Arial" w:eastAsia="Arial" w:hAnsi="Arial"/>
                <w:sz w:val="18"/>
                <w:szCs w:val="18"/>
                <w:color w:val="auto"/>
                <w:w w:val="87"/>
              </w:rPr>
              <w:t>56,229</w:t>
            </w:r>
          </w:p>
        </w:tc>
      </w:tr>
      <w:tr>
        <w:trPr>
          <w:trHeight w:val="20"/>
        </w:trPr>
        <w:tc>
          <w:tcPr>
            <w:tcW w:w="6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64"/>
        </w:trPr>
        <w:tc>
          <w:tcPr>
            <w:tcW w:w="620" w:type="dxa"/>
            <w:vAlign w:val="bottom"/>
            <w:tcBorders>
              <w:bottom w:val="single" w:sz="8" w:color="auto"/>
            </w:tcBorders>
          </w:tcPr>
          <w:p>
            <w:pPr>
              <w:spacing w:after="0"/>
              <w:rPr>
                <w:sz w:val="14"/>
                <w:szCs w:val="14"/>
                <w:color w:val="auto"/>
              </w:rPr>
            </w:pPr>
          </w:p>
        </w:tc>
        <w:tc>
          <w:tcPr>
            <w:tcW w:w="5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5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  Below-market leases are included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266" w:right="47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Mortgage Notes Payable:</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Mortgage notes payable at June 30, 2023 and December 31, 2022 consist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1"/>
              </w:rPr>
              <w:t>Carrying Amount of Mortgage Notes(1)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Effective Interest</w:t>
            </w:r>
          </w:p>
        </w:tc>
        <w:tc>
          <w:tcPr>
            <w:tcW w:w="860" w:type="dxa"/>
            <w:vAlign w:val="bottom"/>
            <w:vMerge w:val="restart"/>
          </w:tcPr>
          <w:p>
            <w:pPr>
              <w:jc w:val="center"/>
              <w:ind w:right="55"/>
              <w:spacing w:after="0" w:line="159" w:lineRule="exact"/>
              <w:rPr>
                <w:sz w:val="20"/>
                <w:szCs w:val="20"/>
                <w:color w:val="auto"/>
              </w:rPr>
            </w:pPr>
            <w:r>
              <w:rPr>
                <w:rFonts w:ascii="Arial" w:cs="Arial" w:eastAsia="Arial" w:hAnsi="Arial"/>
                <w:sz w:val="14"/>
                <w:szCs w:val="14"/>
                <w:b w:val="1"/>
                <w:bCs w:val="1"/>
                <w:color w:val="auto"/>
                <w:w w:val="96"/>
              </w:rPr>
              <w:t>Monthly</w:t>
            </w:r>
          </w:p>
        </w:tc>
        <w:tc>
          <w:tcPr>
            <w:tcW w:w="120" w:type="dxa"/>
            <w:vAlign w:val="bottom"/>
          </w:tcPr>
          <w:p>
            <w:pPr>
              <w:spacing w:after="0"/>
              <w:rPr>
                <w:sz w:val="2"/>
                <w:szCs w:val="2"/>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15"/>
        </w:trPr>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86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Service(3)</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Chandler Fashion Center(5)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255,828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255,736</w:t>
            </w:r>
          </w:p>
        </w:tc>
        <w:tc>
          <w:tcPr>
            <w:tcW w:w="1480" w:type="dxa"/>
            <w:vAlign w:val="bottom"/>
            <w:gridSpan w:val="4"/>
          </w:tcPr>
          <w:p>
            <w:pPr>
              <w:ind w:left="700"/>
              <w:spacing w:after="0"/>
              <w:rPr>
                <w:sz w:val="20"/>
                <w:szCs w:val="20"/>
                <w:color w:val="auto"/>
              </w:rPr>
            </w:pPr>
            <w:r>
              <w:rPr>
                <w:rFonts w:ascii="Arial" w:cs="Arial" w:eastAsia="Arial" w:hAnsi="Arial"/>
                <w:sz w:val="18"/>
                <w:szCs w:val="18"/>
                <w:color w:val="auto"/>
                <w:w w:val="99"/>
              </w:rPr>
              <w:t>4.18 %  $</w:t>
            </w:r>
          </w:p>
        </w:tc>
        <w:tc>
          <w:tcPr>
            <w:tcW w:w="860" w:type="dxa"/>
            <w:vAlign w:val="bottom"/>
          </w:tcPr>
          <w:p>
            <w:pPr>
              <w:jc w:val="right"/>
              <w:spacing w:after="0"/>
              <w:rPr>
                <w:sz w:val="20"/>
                <w:szCs w:val="20"/>
                <w:color w:val="auto"/>
              </w:rPr>
            </w:pPr>
            <w:r>
              <w:rPr>
                <w:rFonts w:ascii="Arial" w:cs="Arial" w:eastAsia="Arial" w:hAnsi="Arial"/>
                <w:sz w:val="18"/>
                <w:szCs w:val="18"/>
                <w:color w:val="auto"/>
              </w:rPr>
              <w:t>875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Danbury Fair Mall(6)</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148,207</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5.98 %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Fashion District Philadelphia(7)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104,427</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9.32 %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7"/>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Fashion Outlets of Chicago</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299,354</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4.61 %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Fashion Outlets of Niagara Falls USA</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90,514</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6.45 %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Freehold Raceway Mall(5)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398,878</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3.94 %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Fresno Fashion Fair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324,255</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3.67 %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Acres Commons(8)</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125,256</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7.14 %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Green Acres Mall(9)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237,372</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6.62 %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7"/>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Kings Plaza Shopping Center</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536,442</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3.71 %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Oaks, The(10)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165,934</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5.74 %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Pacific View(11)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70,855</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5.45 %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Queens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3.49 %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Santa Monica Place(12)</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296,521</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7.10 %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SanTan Village Regional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219,414</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4.34 %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7"/>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Towne Mall(13)</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4.48 %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Victor Valley, Mall of</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114,908</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4.00 %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Vintage Faire Mall</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230,293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233,637</w:t>
            </w:r>
          </w:p>
        </w:tc>
        <w:tc>
          <w:tcPr>
            <w:tcW w:w="12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89"/>
              </w:rPr>
              <w:t>3.55 %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4,174,344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4,240,596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800" w:right="440" w:hanging="401"/>
        <w:spacing w:after="0" w:line="368" w:lineRule="auto"/>
        <w:tabs>
          <w:tab w:leader="none" w:pos="8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$24,997 and $13,830 at June 30, 2023 and December 31, 2022, respectively.</w:t>
      </w:r>
    </w:p>
    <w:p>
      <w:pPr>
        <w:spacing w:after="0" w:line="49" w:lineRule="exact"/>
        <w:rPr>
          <w:rFonts w:ascii="Arial" w:cs="Arial" w:eastAsia="Arial" w:hAnsi="Arial"/>
          <w:sz w:val="12"/>
          <w:szCs w:val="12"/>
          <w:color w:val="auto"/>
        </w:rPr>
      </w:pPr>
    </w:p>
    <w:p>
      <w:pPr>
        <w:ind w:left="800" w:hanging="401"/>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pacing w:after="0" w:line="154" w:lineRule="exact"/>
        <w:rPr>
          <w:rFonts w:ascii="Arial" w:cs="Arial" w:eastAsia="Arial" w:hAnsi="Arial"/>
          <w:sz w:val="14"/>
          <w:szCs w:val="14"/>
          <w:color w:val="auto"/>
        </w:rPr>
      </w:pPr>
    </w:p>
    <w:p>
      <w:pPr>
        <w:ind w:left="800" w:hanging="401"/>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141" w:lineRule="exact"/>
        <w:rPr>
          <w:rFonts w:ascii="Arial" w:cs="Arial" w:eastAsia="Arial" w:hAnsi="Arial"/>
          <w:sz w:val="14"/>
          <w:szCs w:val="14"/>
          <w:color w:val="auto"/>
        </w:rPr>
      </w:pPr>
    </w:p>
    <w:p>
      <w:pPr>
        <w:ind w:left="800" w:right="100" w:hanging="401"/>
        <w:spacing w:after="0" w:line="281"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6" w:lineRule="exact"/>
        <w:rPr>
          <w:rFonts w:ascii="Arial" w:cs="Arial" w:eastAsia="Arial" w:hAnsi="Arial"/>
          <w:sz w:val="14"/>
          <w:szCs w:val="14"/>
          <w:color w:val="auto"/>
        </w:rPr>
      </w:pPr>
    </w:p>
    <w:p>
      <w:pPr>
        <w:ind w:left="800" w:hanging="401"/>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12—Financing Arrangement).</w:t>
      </w:r>
    </w:p>
    <w:p>
      <w:pPr>
        <w:spacing w:after="0" w:line="165" w:lineRule="exact"/>
        <w:rPr>
          <w:rFonts w:ascii="Arial" w:cs="Arial" w:eastAsia="Arial" w:hAnsi="Arial"/>
          <w:sz w:val="13"/>
          <w:szCs w:val="13"/>
          <w:color w:val="auto"/>
        </w:rPr>
      </w:pPr>
    </w:p>
    <w:p>
      <w:pPr>
        <w:ind w:left="800" w:right="100" w:hanging="401"/>
        <w:spacing w:after="0" w:line="321" w:lineRule="auto"/>
        <w:tabs>
          <w:tab w:leader="none" w:pos="8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 July 1, 2022, the Company extended the loan maturity to July 1, 2023. The interest rate remained unchanged at 5.5%, and the Company repaid $10,000 of the outstanding loan balance at closing. On June 27, 2023, the Company further extended the loan maturity to July 1, 2024. The Company repaid $10,000 of the outstanding loan balance at closing and the amended interest rate will be 7.5% as of July 1, 2023 incrementally increasing to 8.0% as of October 1, 2023, 8.5% as of January 1, 2024 and 9.0% as of April 1, 2024.</w:t>
      </w:r>
    </w:p>
    <w:p>
      <w:pPr>
        <w:spacing w:after="0" w:line="90" w:lineRule="exact"/>
        <w:rPr>
          <w:rFonts w:ascii="Arial" w:cs="Arial" w:eastAsia="Arial" w:hAnsi="Arial"/>
          <w:sz w:val="12"/>
          <w:szCs w:val="12"/>
          <w:color w:val="auto"/>
        </w:rPr>
      </w:pPr>
    </w:p>
    <w:p>
      <w:pPr>
        <w:jc w:val="both"/>
        <w:ind w:left="800" w:right="140" w:hanging="401"/>
        <w:spacing w:after="0" w:line="368" w:lineRule="auto"/>
        <w:tabs>
          <w:tab w:leader="none" w:pos="8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 August 26, 2022 and November 28, 2022, the Company repaid $83,058 and $7,117, respectively, of the outstanding loan balance to satisfy certain loan conditions. On January 20, 2023, the Company repaid $26,107 of the outstanding loan balance and exercised its one-year extension option of the loan to January 22, 2024. The interest rate is SOFR plus 3.60%.</w:t>
      </w:r>
    </w:p>
    <w:p>
      <w:pPr>
        <w:spacing w:after="0" w:line="49" w:lineRule="exact"/>
        <w:rPr>
          <w:rFonts w:ascii="Arial" w:cs="Arial" w:eastAsia="Arial" w:hAnsi="Arial"/>
          <w:sz w:val="12"/>
          <w:szCs w:val="12"/>
          <w:color w:val="auto"/>
        </w:rPr>
      </w:pPr>
    </w:p>
    <w:p>
      <w:pPr>
        <w:ind w:left="800" w:right="160" w:hanging="401"/>
        <w:spacing w:after="0" w:line="268"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March 25, 2021, the Company closed on a two-year extension of the loan to March 29, 2023. The interest rate is LIBOR plus 2.75% and the Company repaid $4,680 of the outstanding loan balance at closing. On January 3, 2023, the Company closed on a five-year $370,000 combined refinance of Green Acres Mall and Green Acres Commons. The new interest only loan bears interest at a fixed rate of 5.90% and matures on January 6, 2028.</w:t>
      </w:r>
    </w:p>
    <w:p>
      <w:pPr>
        <w:spacing w:after="0" w:line="104" w:lineRule="exact"/>
        <w:rPr>
          <w:rFonts w:ascii="Arial" w:cs="Arial" w:eastAsia="Arial" w:hAnsi="Arial"/>
          <w:sz w:val="14"/>
          <w:szCs w:val="14"/>
          <w:color w:val="auto"/>
        </w:rPr>
      </w:pPr>
    </w:p>
    <w:p>
      <w:pPr>
        <w:ind w:left="800" w:hanging="401"/>
        <w:spacing w:after="0" w:line="281"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January 22, 2021, the Company closed on a one-year extension of the loan to February 3, 2022, which also included a one-year extension option to February 3, 2023 which has been exercised. The interest rate remained unchanged, and the Company repaid $9,000 of the outstanding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266" w:right="4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Mortgage Notes Payable: (Continued)</w:t>
      </w:r>
    </w:p>
    <w:p>
      <w:pPr>
        <w:spacing w:after="0" w:line="200" w:lineRule="exact"/>
        <w:rPr>
          <w:sz w:val="20"/>
          <w:szCs w:val="20"/>
          <w:color w:val="auto"/>
        </w:rPr>
      </w:pPr>
    </w:p>
    <w:p>
      <w:pPr>
        <w:spacing w:after="0" w:line="303" w:lineRule="exact"/>
        <w:rPr>
          <w:sz w:val="20"/>
          <w:szCs w:val="20"/>
          <w:color w:val="auto"/>
        </w:rPr>
      </w:pPr>
    </w:p>
    <w:p>
      <w:pPr>
        <w:ind w:left="800" w:right="200"/>
        <w:spacing w:after="0" w:line="281" w:lineRule="auto"/>
        <w:rPr>
          <w:sz w:val="20"/>
          <w:szCs w:val="20"/>
          <w:color w:val="auto"/>
        </w:rPr>
      </w:pPr>
      <w:r>
        <w:rPr>
          <w:rFonts w:ascii="Arial" w:cs="Arial" w:eastAsia="Arial" w:hAnsi="Arial"/>
          <w:sz w:val="14"/>
          <w:szCs w:val="14"/>
          <w:color w:val="auto"/>
        </w:rPr>
        <w:t>loan balance at closing. On January 3, 2023, the Company closed on a five-year $370,000 combined refinance of Green Acres Mall and Green Acres Commons. The new interest only loan bears interest at a fixed rate of 5.90% and matures on January 6, 2028.</w:t>
      </w:r>
    </w:p>
    <w:p>
      <w:pPr>
        <w:spacing w:after="0" w:line="109" w:lineRule="exact"/>
        <w:rPr>
          <w:sz w:val="20"/>
          <w:szCs w:val="20"/>
          <w:color w:val="auto"/>
        </w:rPr>
      </w:pPr>
    </w:p>
    <w:p>
      <w:pPr>
        <w:ind w:left="800" w:right="340" w:hanging="401"/>
        <w:spacing w:after="0" w:line="261" w:lineRule="auto"/>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 May 6, 2022, the Company closed on a two-year extension of the loan to June 5, 2024 at a new fixed interest rate of 5.25%. The Company repaid $5,000 of the outstanding loan balance at closing. On June 5, 2023, the Company repaid $10,000 of the outstanding loan balance.</w:t>
      </w:r>
    </w:p>
    <w:p>
      <w:pPr>
        <w:spacing w:after="0" w:line="123" w:lineRule="exact"/>
        <w:rPr>
          <w:rFonts w:ascii="Arial" w:cs="Arial" w:eastAsia="Arial" w:hAnsi="Arial"/>
          <w:sz w:val="14"/>
          <w:szCs w:val="14"/>
          <w:color w:val="auto"/>
        </w:rPr>
      </w:pPr>
    </w:p>
    <w:p>
      <w:pPr>
        <w:ind w:left="780" w:hanging="381"/>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 April 29, 2022, the Company closed on a new $72,000 loan with a fixed rate of 5.29% that matures on May 6, 2032.</w:t>
      </w:r>
    </w:p>
    <w:p>
      <w:pPr>
        <w:spacing w:after="0" w:line="141" w:lineRule="exact"/>
        <w:rPr>
          <w:rFonts w:ascii="Arial" w:cs="Arial" w:eastAsia="Arial" w:hAnsi="Arial"/>
          <w:sz w:val="14"/>
          <w:szCs w:val="14"/>
          <w:color w:val="auto"/>
        </w:rPr>
      </w:pPr>
    </w:p>
    <w:p>
      <w:pPr>
        <w:ind w:left="800" w:right="40" w:hanging="401"/>
        <w:spacing w:after="0" w:line="297" w:lineRule="auto"/>
        <w:tabs>
          <w:tab w:leader="none" w:pos="8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 December 9, 2022, the Company closed on a three-year extension of the loan to December 9, 2025, including extension options. The interest rate remained unchanged at LIBOR plus 1.48%, and has converted to 1-month Term SOFR plus 1.52% effective July 9, 2023. The loan is covered by an interest rate cap agreement that effectively prevents LIBOR from exceeding 4.0% during the period ending December 9, 2023. The interest rate cap agreement was converted to 1-month Term SOFR effective July 9, 2023.</w:t>
      </w:r>
    </w:p>
    <w:p>
      <w:pPr>
        <w:spacing w:after="0" w:line="89" w:lineRule="exact"/>
        <w:rPr>
          <w:rFonts w:ascii="Arial" w:cs="Arial" w:eastAsia="Arial" w:hAnsi="Arial"/>
          <w:sz w:val="13"/>
          <w:szCs w:val="13"/>
          <w:color w:val="auto"/>
        </w:rPr>
      </w:pPr>
    </w:p>
    <w:p>
      <w:pPr>
        <w:ind w:left="800" w:hanging="401"/>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has completed transition of the property to a receiver, but is still the owner of record.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mortgage notes payable are secured by the properties on which they are placed and are non-recourse to the Company.</w:t>
      </w:r>
    </w:p>
    <w:p>
      <w:pPr>
        <w:spacing w:after="0" w:line="171" w:lineRule="exact"/>
        <w:rPr>
          <w:sz w:val="20"/>
          <w:szCs w:val="20"/>
          <w:color w:val="auto"/>
        </w:rPr>
      </w:pPr>
    </w:p>
    <w:p>
      <w:pPr>
        <w:ind w:right="740" w:firstLine="434"/>
        <w:spacing w:after="0" w:line="261" w:lineRule="auto"/>
        <w:rPr>
          <w:sz w:val="20"/>
          <w:szCs w:val="20"/>
          <w:color w:val="auto"/>
        </w:rPr>
      </w:pPr>
      <w:r>
        <w:rPr>
          <w:rFonts w:ascii="Arial" w:cs="Arial" w:eastAsia="Arial" w:hAnsi="Arial"/>
          <w:sz w:val="18"/>
          <w:szCs w:val="18"/>
          <w:color w:val="auto"/>
        </w:rPr>
        <w:t>The Company expects that all loan maturities during the next twelve months will be refinanced, restructured, extended and/or paid off from the Company's line of credit or with cash on hand, with the exception of Towne Mall as noted above.</w:t>
      </w:r>
    </w:p>
    <w:p>
      <w:pPr>
        <w:spacing w:after="0" w:line="115" w:lineRule="exact"/>
        <w:rPr>
          <w:sz w:val="20"/>
          <w:szCs w:val="20"/>
          <w:color w:val="auto"/>
        </w:rPr>
      </w:pPr>
    </w:p>
    <w:p>
      <w:pPr>
        <w:ind w:right="40" w:firstLine="434"/>
        <w:spacing w:after="0" w:line="261" w:lineRule="auto"/>
        <w:rPr>
          <w:sz w:val="20"/>
          <w:szCs w:val="20"/>
          <w:color w:val="auto"/>
        </w:rPr>
      </w:pPr>
      <w:r>
        <w:rPr>
          <w:rFonts w:ascii="Arial" w:cs="Arial" w:eastAsia="Arial" w:hAnsi="Arial"/>
          <w:sz w:val="18"/>
          <w:szCs w:val="18"/>
          <w:color w:val="auto"/>
        </w:rPr>
        <w:t>Total interest expense capitalized was $4,850 and $2,441 for the three months ended June 30, 2023 and 2022, respectively, and $9,693 and $4,292 for the six months ended June 30, 2023 and 2022, respectively.</w:t>
      </w:r>
    </w:p>
    <w:p>
      <w:pPr>
        <w:spacing w:after="0" w:line="102" w:lineRule="exact"/>
        <w:rPr>
          <w:sz w:val="20"/>
          <w:szCs w:val="20"/>
          <w:color w:val="auto"/>
        </w:rPr>
      </w:pPr>
    </w:p>
    <w:p>
      <w:pPr>
        <w:jc w:val="both"/>
        <w:ind w:right="280" w:firstLine="434"/>
        <w:spacing w:after="0" w:line="299" w:lineRule="auto"/>
        <w:rPr>
          <w:sz w:val="20"/>
          <w:szCs w:val="20"/>
          <w:color w:val="auto"/>
        </w:rPr>
      </w:pPr>
      <w:r>
        <w:rPr>
          <w:rFonts w:ascii="Arial" w:cs="Arial" w:eastAsia="Arial" w:hAnsi="Arial"/>
          <w:sz w:val="16"/>
          <w:szCs w:val="16"/>
          <w:color w:val="auto"/>
        </w:rPr>
        <w:t>The estimated fair value (Level 2 measurement) of mortgage notes payable at June 30, 2023 and December 31, 2022 was $3,810,974 and $3,894,588,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Bank and other notes payable consist of the following:</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Credit Facility:</w:t>
      </w:r>
    </w:p>
    <w:p>
      <w:pPr>
        <w:spacing w:after="0" w:line="14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The Company has a $525,000 revolving loan facility that matures on April 14, 2024. The revolving loan facility can be expanded up to $800,000, subject to receipt of lender commitments and other conditions. All obligations under the facility are guaranteed unconditionally by the Company and are secured in the form of mortgages on certain wholly-owned assets and pledges of equity interests held by certain of the Company’s subsidiaries. The credit facility previously bore interest at LIBOR plus a spread of 2.25% to 3.25% depending on the Company’s overall leverage level. On March 22, 2023, the Company executed the one-year extension option to April 14, 2024. Additionally, effective March 13, 2023, the credit facility converted from LIBOR to 1-month Term SOFR with an applicable benchmark replacement increase adjustment of 0.11448%. As of June 30, 2023, the borrowing rate was SOFR plus a spread of 2.36%. As of June 30, 2023, borrowings under the facility were $130,000, less unamortized deferred finance costs of $5,714, for the revolving loan facility at a total interest rate of 9.07%. As of June 30, 2023, the Company's availability under the revolving loan facility for additional borrowings was $394,787. The estimated fair value (Level 2 measurement) of borrowings under the credit facility at June 30, 2023 was $130,005 for the revolving loan facility based on a present value model using a credit interest rate spread offered to the Company for comparable debt.</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2023 and December 31, 2022, the Company was in compliance with all applicable financial loan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w:t>
      </w:r>
    </w:p>
    <w:p>
      <w:pPr>
        <w:spacing w:after="0" w:line="200" w:lineRule="exact"/>
        <w:rPr>
          <w:sz w:val="20"/>
          <w:szCs w:val="20"/>
          <w:color w:val="auto"/>
        </w:rPr>
      </w:pPr>
    </w:p>
    <w:p>
      <w:pPr>
        <w:spacing w:after="0" w:line="309" w:lineRule="exact"/>
        <w:rPr>
          <w:sz w:val="20"/>
          <w:szCs w:val="20"/>
          <w:color w:val="auto"/>
        </w:rPr>
      </w:pPr>
    </w:p>
    <w:p>
      <w:pPr>
        <w:ind w:right="40" w:firstLine="434"/>
        <w:spacing w:after="0" w:line="300" w:lineRule="auto"/>
        <w:rPr>
          <w:sz w:val="20"/>
          <w:szCs w:val="20"/>
          <w:color w:val="auto"/>
        </w:rPr>
      </w:pPr>
      <w:r>
        <w:rPr>
          <w:rFonts w:ascii="Arial" w:cs="Arial" w:eastAsia="Arial" w:hAnsi="Arial"/>
          <w:sz w:val="15"/>
          <w:szCs w:val="15"/>
          <w:color w:val="auto"/>
        </w:rPr>
        <w:t>On September 30, 2009, the Company formed a joint venture whereby a third party acquired a 49.9% interest in Chandler Fashion Center, a 1,320,000 square foot regional shopping center in Chandler, Arizona, and Freehold Raceway Mall, a 1,549,000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June 30, 2023 and December 31, 2022 was based upon a terminal capitalization rate of approximately 6.50% and 6.25%, respectively, a discount rate at June 30, 2023 and December 31, 2022 of 8.25% and 7.75%, respectively, and market rents per square foot of $35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(income) expense in the Company's consolidated statements of operations.</w:t>
      </w:r>
    </w:p>
    <w:p>
      <w:pPr>
        <w:spacing w:after="0" w:line="91" w:lineRule="exact"/>
        <w:rPr>
          <w:sz w:val="20"/>
          <w:szCs w:val="20"/>
          <w:color w:val="auto"/>
        </w:rPr>
      </w:pPr>
    </w:p>
    <w:p>
      <w:pPr>
        <w:ind w:right="440" w:firstLine="434"/>
        <w:spacing w:after="0" w:line="261" w:lineRule="auto"/>
        <w:rPr>
          <w:sz w:val="20"/>
          <w:szCs w:val="20"/>
          <w:color w:val="auto"/>
        </w:rPr>
      </w:pPr>
      <w:r>
        <w:rPr>
          <w:rFonts w:ascii="Arial" w:cs="Arial" w:eastAsia="Arial" w:hAnsi="Arial"/>
          <w:sz w:val="18"/>
          <w:szCs w:val="18"/>
          <w:color w:val="auto"/>
        </w:rPr>
        <w:t>During the three and six months ended June 30, 2023 and 2022, the Company recognized related party interest (income) expense in the Company's consolidated statements of operations in connection with the financing arrangement as follows:</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w w:val="90"/>
              </w:rPr>
              <w:t>For the Three Months Ended June</w:t>
            </w:r>
          </w:p>
        </w:tc>
        <w:tc>
          <w:tcPr>
            <w:tcW w:w="100" w:type="dxa"/>
            <w:vAlign w:val="bottom"/>
          </w:tcPr>
          <w:p>
            <w:pPr>
              <w:spacing w:after="0"/>
              <w:rPr>
                <w:sz w:val="14"/>
                <w:szCs w:val="14"/>
                <w:color w:val="auto"/>
              </w:rPr>
            </w:pPr>
          </w:p>
        </w:tc>
        <w:tc>
          <w:tcPr>
            <w:tcW w:w="204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For the Six Months Ended June</w:t>
            </w:r>
          </w:p>
        </w:tc>
      </w:tr>
      <w:tr>
        <w:trPr>
          <w:trHeight w:val="190"/>
        </w:trPr>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r>
      <w:tr>
        <w:trPr>
          <w:trHeight w:val="190"/>
        </w:trPr>
        <w:tc>
          <w:tcPr>
            <w:tcW w:w="6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equal to the partner's share of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Distributions in excess of the partner's share of net income (loss)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6,861</w:t>
            </w:r>
          </w:p>
        </w:tc>
      </w:tr>
      <w:tr>
        <w:trPr>
          <w:trHeight w:val="23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fair value of financing arrangement obligation</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9,785</w:t>
            </w:r>
          </w:p>
        </w:tc>
      </w:tr>
      <w:tr>
        <w:trPr>
          <w:trHeight w:val="217"/>
        </w:trPr>
        <w:tc>
          <w:tcPr>
            <w:tcW w:w="6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5,980</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8,892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(3,427)</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16,895</w:t>
            </w: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154"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The Company allocates net income (loss) of the Operating Partnership based on the weighted average ownership interest during the period. The net income (loss)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June 30, 2023 and December 31, 2022. The remaining 4% limited partnership interest as of June 30, 2023 and December 31, 2022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June 30, 2023 and December 31, 2022, the aggregate redemption value of the then-outstanding OP Units not owned by the Company was $98,661 and $103,023, respectively.</w:t>
      </w:r>
    </w:p>
    <w:p>
      <w:pPr>
        <w:spacing w:after="0" w:line="109"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10" w:lineRule="exact"/>
        <w:rPr>
          <w:sz w:val="20"/>
          <w:szCs w:val="20"/>
          <w:color w:val="auto"/>
        </w:rPr>
      </w:pPr>
    </w:p>
    <w:p>
      <w:pPr>
        <w:ind w:right="40" w:firstLine="434"/>
        <w:spacing w:after="0" w:line="261"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Offerings</w:t>
      </w:r>
    </w:p>
    <w:p>
      <w:pPr>
        <w:spacing w:after="0" w:line="148" w:lineRule="exact"/>
        <w:rPr>
          <w:sz w:val="20"/>
          <w:szCs w:val="20"/>
          <w:color w:val="auto"/>
        </w:rPr>
      </w:pPr>
    </w:p>
    <w:p>
      <w:pPr>
        <w:ind w:right="220" w:firstLine="434"/>
        <w:spacing w:after="0" w:line="286" w:lineRule="auto"/>
        <w:rPr>
          <w:sz w:val="20"/>
          <w:szCs w:val="20"/>
          <w:color w:val="auto"/>
        </w:rPr>
      </w:pPr>
      <w:r>
        <w:rPr>
          <w:rFonts w:ascii="Arial" w:cs="Arial" w:eastAsia="Arial" w:hAnsi="Arial"/>
          <w:sz w:val="16"/>
          <w:szCs w:val="16"/>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 The February 2021 ATM Program was fully utilized as of June 30, 2021 and is no longer active.</w:t>
      </w:r>
    </w:p>
    <w:p>
      <w:pPr>
        <w:spacing w:after="0" w:line="87"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During the six months ended June 30, 2023, the Company did not issue any shares of common stock under the March 2021 ATM Program. As of June 30, 2023, $151,699 remained available to be sold under the March 2021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March 2021 ATM Program.</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Buyback Program</w:t>
      </w:r>
    </w:p>
    <w:p>
      <w:pPr>
        <w:spacing w:after="0" w:line="148" w:lineRule="exact"/>
        <w:rPr>
          <w:sz w:val="20"/>
          <w:szCs w:val="20"/>
          <w:color w:val="auto"/>
        </w:rPr>
      </w:pPr>
    </w:p>
    <w:p>
      <w:pPr>
        <w:ind w:right="340" w:firstLine="434"/>
        <w:spacing w:after="0" w:line="290" w:lineRule="auto"/>
        <w:rPr>
          <w:sz w:val="20"/>
          <w:szCs w:val="20"/>
          <w:color w:val="auto"/>
        </w:rPr>
      </w:pPr>
      <w:r>
        <w:rPr>
          <w:rFonts w:ascii="Arial" w:cs="Arial" w:eastAsia="Arial" w:hAnsi="Arial"/>
          <w:sz w:val="16"/>
          <w:szCs w:val="16"/>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repurchases under the Stock Buyback Program during the six months ended June 30, 2023 or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Acquisitions:</w:t>
      </w:r>
    </w:p>
    <w:p>
      <w:pPr>
        <w:spacing w:after="0" w:line="154" w:lineRule="exact"/>
        <w:rPr>
          <w:sz w:val="20"/>
          <w:szCs w:val="20"/>
          <w:color w:val="auto"/>
        </w:rPr>
      </w:pPr>
    </w:p>
    <w:p>
      <w:pPr>
        <w:jc w:val="both"/>
        <w:ind w:right="20" w:firstLine="434"/>
        <w:spacing w:after="0" w:line="299" w:lineRule="auto"/>
        <w:rPr>
          <w:sz w:val="20"/>
          <w:szCs w:val="20"/>
          <w:color w:val="auto"/>
        </w:rPr>
      </w:pPr>
      <w:r>
        <w:rPr>
          <w:rFonts w:ascii="Arial" w:cs="Arial" w:eastAsia="Arial" w:hAnsi="Arial"/>
          <w:sz w:val="16"/>
          <w:szCs w:val="16"/>
          <w:color w:val="auto"/>
        </w:rPr>
        <w:t>On August 2, 2022, the Company acquired the remaining 50% ownership interest in two former Sears parcels (Deptford Mall and Vintage Faire Mall) in the MS Portfolio LLC joint venture that it did not previously own for a total purchase price of $24,544. Effective as of August 2, 2022, the Company now owns and has consolidated its 100% interest in these two former Sears parcels in its consolidated financial statements.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allocation of the fair value of the former Sears parcels at Deptford Mall and Vintage Faire Mall: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32,934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Other assets (above-market leases)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3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17"/>
        </w:trPr>
        <w:tc>
          <w:tcPr>
            <w:tcW w:w="7780" w:type="dxa"/>
            <w:vAlign w:val="bottom"/>
          </w:tcPr>
          <w:p>
            <w:pPr>
              <w:ind w:left="20"/>
              <w:spacing w:after="0"/>
              <w:rPr>
                <w:sz w:val="20"/>
                <w:szCs w:val="20"/>
                <w:color w:val="auto"/>
              </w:rPr>
            </w:pPr>
            <w:r>
              <w:rPr>
                <w:rFonts w:ascii="Arial" w:cs="Arial" w:eastAsia="Arial" w:hAnsi="Arial"/>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48,098</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Acquisitions: (Continued)</w:t>
      </w:r>
    </w:p>
    <w:p>
      <w:pPr>
        <w:spacing w:after="0" w:line="154" w:lineRule="exact"/>
        <w:rPr>
          <w:sz w:val="20"/>
          <w:szCs w:val="20"/>
          <w:color w:val="auto"/>
        </w:rPr>
      </w:pPr>
    </w:p>
    <w:p>
      <w:pPr>
        <w:ind w:right="400" w:firstLine="434"/>
        <w:spacing w:after="0" w:line="261" w:lineRule="auto"/>
        <w:rPr>
          <w:sz w:val="20"/>
          <w:szCs w:val="20"/>
          <w:color w:val="auto"/>
        </w:rPr>
      </w:pPr>
      <w:r>
        <w:rPr>
          <w:rFonts w:ascii="Arial" w:cs="Arial" w:eastAsia="Arial" w:hAnsi="Arial"/>
          <w:sz w:val="18"/>
          <w:szCs w:val="18"/>
          <w:color w:val="auto"/>
        </w:rPr>
        <w:t>The following is a summary of the allocation of the fair value of the former Sears parcels at Chandler Fashion Center, Danbury Fair Mall, Freehold Raceway Mall, Los Cerritos Center and Washington Square:</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39,359</w:t>
            </w:r>
          </w:p>
        </w:tc>
      </w:tr>
      <w:tr>
        <w:trPr>
          <w:trHeight w:val="23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Deferred charges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6,821</w:t>
            </w:r>
          </w:p>
        </w:tc>
      </w:tr>
      <w:tr>
        <w:trPr>
          <w:trHeight w:val="22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93,400</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Dispositions:</w:t>
      </w:r>
    </w:p>
    <w:p>
      <w:pPr>
        <w:spacing w:after="0" w:line="154"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On May 2, 2023, the Company sold The Marketplace at Flagstaff, a 268,000 square foot power center in Flagstaff, Arizona, for $23,500, which resulted in a gain on sale of assets of $10,349. The Company used the net proceeds to pay down debt.</w:t>
      </w:r>
    </w:p>
    <w:p>
      <w:pPr>
        <w:spacing w:after="0" w:line="102" w:lineRule="exact"/>
        <w:rPr>
          <w:sz w:val="20"/>
          <w:szCs w:val="20"/>
          <w:color w:val="auto"/>
        </w:rPr>
      </w:pPr>
    </w:p>
    <w:p>
      <w:pPr>
        <w:ind w:right="40" w:firstLine="434"/>
        <w:spacing w:after="0" w:line="299" w:lineRule="auto"/>
        <w:rPr>
          <w:sz w:val="20"/>
          <w:szCs w:val="20"/>
          <w:color w:val="auto"/>
        </w:rPr>
      </w:pPr>
      <w:r>
        <w:rPr>
          <w:rFonts w:ascii="Arial" w:cs="Arial" w:eastAsia="Arial" w:hAnsi="Arial"/>
          <w:sz w:val="16"/>
          <w:szCs w:val="16"/>
          <w:color w:val="auto"/>
        </w:rPr>
        <w:t>For the six months ended June 30, 2023, the Company sold various land parcels in separate transactions, resulting in gains on sale of land of $4,374. For the three and six months ended June 30, 2022, the Company sold various land parcels in separate transactions, resulting in gains on sale of land of $66 and $15,147, respectively. The Company used its share of the proceeds from these sales to pay down debt and for other general corporate purposes.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54" w:lineRule="exact"/>
        <w:rPr>
          <w:sz w:val="20"/>
          <w:szCs w:val="20"/>
          <w:color w:val="auto"/>
        </w:rPr>
      </w:pPr>
    </w:p>
    <w:p>
      <w:pPr>
        <w:ind w:right="140" w:firstLine="434"/>
        <w:spacing w:after="0" w:line="252" w:lineRule="auto"/>
        <w:rPr>
          <w:sz w:val="20"/>
          <w:szCs w:val="20"/>
          <w:color w:val="auto"/>
        </w:rPr>
      </w:pPr>
      <w:r>
        <w:rPr>
          <w:rFonts w:ascii="Arial" w:cs="Arial" w:eastAsia="Arial" w:hAnsi="Arial"/>
          <w:sz w:val="18"/>
          <w:szCs w:val="18"/>
          <w:color w:val="auto"/>
        </w:rPr>
        <w:t>As of June 30, 2023, the Company was contingently liable for $40,931 in letters of credit guaranteeing performance by the Company of certain obligations relating to the Centers. As of June 30, 2023, $40,680 of these letters of credit were secured by restricted cash. The Company does not believe that these letters of credit will result in a liability to the Company.</w:t>
      </w:r>
    </w:p>
    <w:p>
      <w:pPr>
        <w:spacing w:after="0" w:line="110" w:lineRule="exact"/>
        <w:rPr>
          <w:sz w:val="20"/>
          <w:szCs w:val="20"/>
          <w:color w:val="auto"/>
        </w:rPr>
      </w:pPr>
    </w:p>
    <w:p>
      <w:pPr>
        <w:ind w:right="180" w:firstLine="434"/>
        <w:spacing w:after="0" w:line="299" w:lineRule="auto"/>
        <w:rPr>
          <w:sz w:val="20"/>
          <w:szCs w:val="20"/>
          <w:color w:val="auto"/>
        </w:rPr>
      </w:pPr>
      <w:r>
        <w:rPr>
          <w:rFonts w:ascii="Arial" w:cs="Arial" w:eastAsia="Arial" w:hAnsi="Arial"/>
          <w:sz w:val="16"/>
          <w:szCs w:val="16"/>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June 30, 2023, the Company had $8,425 in outstanding obligations, which it believes will be settled in the next twelve months.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54"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fees charged to unconsolidated joint ventures:</w:t>
      </w:r>
    </w:p>
    <w:p>
      <w:pPr>
        <w:spacing w:after="0" w:line="1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w w:val="92"/>
              </w:rPr>
              <w:t>For the 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w w:val="89"/>
              </w:rPr>
              <w:t>For the Six Months Ended June</w:t>
            </w:r>
          </w:p>
        </w:tc>
      </w:tr>
      <w:tr>
        <w:trPr>
          <w:trHeight w:val="188"/>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r>
      <w:tr>
        <w:trPr>
          <w:trHeight w:val="189"/>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r>
      <w:tr>
        <w:trPr>
          <w:trHeight w:val="23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and leasing fees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r>
      <w:tr>
        <w:trPr>
          <w:trHeight w:val="237"/>
        </w:trPr>
        <w:tc>
          <w:tcPr>
            <w:tcW w:w="36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40" w:firstLine="434"/>
        <w:spacing w:after="0" w:line="252" w:lineRule="auto"/>
        <w:rPr>
          <w:sz w:val="20"/>
          <w:szCs w:val="20"/>
          <w:color w:val="auto"/>
        </w:rPr>
      </w:pPr>
      <w:r>
        <w:rPr>
          <w:rFonts w:ascii="Arial" w:cs="Arial" w:eastAsia="Arial" w:hAnsi="Arial"/>
          <w:sz w:val="18"/>
          <w:szCs w:val="18"/>
          <w:color w:val="auto"/>
        </w:rPr>
        <w:t>Interest expense (income) from related party transactions includes $5,980 and $8,892 for the three months ended June 30, 2023 and 2022, respectively, and $(3,427) and $16,895 for the six months ended June 30, 2023 and 2022, respectively, in connection with the financing arrangement (See Note 12— Financing Arrangement).</w:t>
      </w:r>
    </w:p>
    <w:p>
      <w:pPr>
        <w:sectPr>
          <w:pgSz w:w="11900" w:h="16838" w:orient="portrait"/>
          <w:cols w:equalWidth="0" w:num="1">
            <w:col w:w="11160"/>
          </w:cols>
          <w:pgMar w:left="320" w:top="26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 (Continued)</w:t>
      </w:r>
    </w:p>
    <w:p>
      <w:pPr>
        <w:spacing w:after="0" w:line="154" w:lineRule="exact"/>
        <w:rPr>
          <w:sz w:val="20"/>
          <w:szCs w:val="20"/>
          <w:color w:val="auto"/>
        </w:rPr>
      </w:pPr>
    </w:p>
    <w:p>
      <w:pPr>
        <w:ind w:right="20" w:firstLine="434"/>
        <w:spacing w:after="0" w:line="261" w:lineRule="auto"/>
        <w:rPr>
          <w:sz w:val="20"/>
          <w:szCs w:val="20"/>
          <w:color w:val="auto"/>
        </w:rPr>
      </w:pPr>
      <w:r>
        <w:rPr>
          <w:rFonts w:ascii="Arial" w:cs="Arial" w:eastAsia="Arial" w:hAnsi="Arial"/>
          <w:sz w:val="18"/>
          <w:szCs w:val="18"/>
          <w:color w:val="auto"/>
        </w:rPr>
        <w:t>Due from affiliates includes $5,745 and $3,299 of unreimbursed costs and fees from unconsolidated joint ventures due to the Management Companies at June 30, 2023 and December 31, 2022,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w:t>
      </w:r>
    </w:p>
    <w:p>
      <w:pPr>
        <w:spacing w:after="0" w:line="141"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00" w:lineRule="exact"/>
        <w:rPr>
          <w:sz w:val="20"/>
          <w:szCs w:val="20"/>
          <w:color w:val="auto"/>
        </w:rPr>
      </w:pPr>
    </w:p>
    <w:p>
      <w:pPr>
        <w:ind w:right="80" w:firstLine="434"/>
        <w:spacing w:after="0" w:line="299" w:lineRule="auto"/>
        <w:rPr>
          <w:sz w:val="20"/>
          <w:szCs w:val="20"/>
          <w:color w:val="auto"/>
        </w:rPr>
      </w:pPr>
      <w:r>
        <w:rPr>
          <w:rFonts w:ascii="Arial" w:cs="Arial" w:eastAsia="Arial" w:hAnsi="Arial"/>
          <w:sz w:val="16"/>
          <w:szCs w:val="16"/>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six months ended June 30, 2023, the Company granted the following LTI Units:</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28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Grant Date</w:t>
            </w:r>
          </w:p>
        </w:tc>
        <w:tc>
          <w:tcPr>
            <w:tcW w:w="160" w:type="dxa"/>
            <w:vAlign w:val="bottom"/>
          </w:tcPr>
          <w:p>
            <w:pPr>
              <w:spacing w:after="0"/>
              <w:rPr>
                <w:sz w:val="16"/>
                <w:szCs w:val="16"/>
                <w:color w:val="auto"/>
              </w:rPr>
            </w:pPr>
          </w:p>
        </w:tc>
        <w:tc>
          <w:tcPr>
            <w:tcW w:w="1220" w:type="dxa"/>
            <w:vAlign w:val="bottom"/>
            <w:vMerge w:val="restart"/>
          </w:tcPr>
          <w:p>
            <w:pPr>
              <w:jc w:val="right"/>
              <w:ind w:right="357"/>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6"/>
                <w:szCs w:val="16"/>
                <w:color w:val="auto"/>
              </w:rPr>
            </w:pPr>
          </w:p>
        </w:tc>
        <w:tc>
          <w:tcPr>
            <w:tcW w:w="18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Type</w:t>
            </w:r>
          </w:p>
        </w:tc>
        <w:tc>
          <w:tcPr>
            <w:tcW w:w="16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Fair Value per LTI</w:t>
            </w:r>
          </w:p>
        </w:tc>
        <w:tc>
          <w:tcPr>
            <w:tcW w:w="100" w:type="dxa"/>
            <w:vAlign w:val="bottom"/>
          </w:tcPr>
          <w:p>
            <w:pPr>
              <w:spacing w:after="0"/>
              <w:rPr>
                <w:sz w:val="16"/>
                <w:szCs w:val="16"/>
                <w:color w:val="auto"/>
              </w:rPr>
            </w:pPr>
          </w:p>
        </w:tc>
        <w:tc>
          <w:tcPr>
            <w:tcW w:w="130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rPr>
              <w:t>Vest Date</w:t>
            </w:r>
          </w:p>
        </w:tc>
        <w:tc>
          <w:tcPr>
            <w:tcW w:w="0" w:type="dxa"/>
            <w:vAlign w:val="bottom"/>
          </w:tcPr>
          <w:p>
            <w:pPr>
              <w:spacing w:after="0"/>
              <w:rPr>
                <w:sz w:val="1"/>
                <w:szCs w:val="1"/>
                <w:color w:val="auto"/>
              </w:rPr>
            </w:pPr>
          </w:p>
        </w:tc>
      </w:tr>
      <w:tr>
        <w:trPr>
          <w:trHeight w:val="207"/>
        </w:trPr>
        <w:tc>
          <w:tcPr>
            <w:tcW w:w="12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Unit</w:t>
            </w:r>
          </w:p>
        </w:tc>
        <w:tc>
          <w:tcPr>
            <w:tcW w:w="10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577,255</w:t>
            </w:r>
          </w:p>
        </w:tc>
        <w:tc>
          <w:tcPr>
            <w:tcW w:w="160" w:type="dxa"/>
            <w:vAlign w:val="bottom"/>
            <w:shd w:val="clear" w:color="auto" w:fill="CCEEFF"/>
          </w:tcPr>
          <w:p>
            <w:pPr>
              <w:spacing w:after="0"/>
              <w:rPr>
                <w:sz w:val="20"/>
                <w:szCs w:val="20"/>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12/31/2025</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1/1/2023</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1,030,077</w:t>
            </w:r>
          </w:p>
        </w:tc>
        <w:tc>
          <w:tcPr>
            <w:tcW w:w="1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Performance-based</w:t>
            </w:r>
          </w:p>
        </w:tc>
        <w:tc>
          <w:tcPr>
            <w:tcW w:w="4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12/31/2025</w:t>
            </w:r>
          </w:p>
        </w:tc>
        <w:tc>
          <w:tcPr>
            <w:tcW w:w="0" w:type="dxa"/>
            <w:vAlign w:val="bottom"/>
          </w:tcPr>
          <w:p>
            <w:pPr>
              <w:spacing w:after="0"/>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1,607,332</w:t>
            </w:r>
          </w:p>
        </w:tc>
        <w:tc>
          <w:tcPr>
            <w:tcW w:w="1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0" w:firstLine="434"/>
        <w:spacing w:after="0" w:line="299" w:lineRule="auto"/>
        <w:rPr>
          <w:sz w:val="20"/>
          <w:szCs w:val="20"/>
          <w:color w:val="auto"/>
        </w:rPr>
      </w:pPr>
      <w:r>
        <w:rPr>
          <w:rFonts w:ascii="Arial" w:cs="Arial" w:eastAsia="Arial" w:hAnsi="Arial"/>
          <w:sz w:val="16"/>
          <w:szCs w:val="16"/>
          <w:color w:val="auto"/>
        </w:rPr>
        <w:t>The fair value of the service-based LTI Units was determined by the market price of the Company's common stock on the date of grant. The fair value (Level 3 measurement) of the performance-based LTI Units granted on January 1, 2023 was estimated on the date of grant using a Monte Carlo Simulation model that assumed a three-year risk-free interest rate of 4.21% and an expected volatility of 74.23%.</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the non-vested LTI Units, phantom stock units and stock units:</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274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6"/>
                <w:szCs w:val="16"/>
                <w:b w:val="1"/>
                <w:bCs w:val="1"/>
                <w:color w:val="auto"/>
              </w:rPr>
              <w:t>LTI Units</w:t>
            </w:r>
          </w:p>
        </w:tc>
        <w:tc>
          <w:tcPr>
            <w:tcW w:w="12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6"/>
                <w:szCs w:val="16"/>
                <w:b w:val="1"/>
                <w:bCs w:val="1"/>
                <w:color w:val="auto"/>
              </w:rPr>
              <w:t>Phantom Stock Units</w:t>
            </w:r>
          </w:p>
        </w:tc>
        <w:tc>
          <w:tcPr>
            <w:tcW w:w="12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6"/>
                <w:szCs w:val="16"/>
                <w:b w:val="1"/>
                <w:bCs w:val="1"/>
                <w:color w:val="auto"/>
              </w:rPr>
              <w:t>Stock Units</w:t>
            </w:r>
          </w:p>
        </w:tc>
      </w:tr>
      <w:tr>
        <w:trPr>
          <w:trHeight w:val="204"/>
        </w:trPr>
        <w:tc>
          <w:tcPr>
            <w:tcW w:w="27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6"/>
              </w:rPr>
              <w:t>Value(1)</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3"/>
              </w:rPr>
              <w:t>Value(1)</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6"/>
              </w:rPr>
              <w:t>Value(1)</w:t>
            </w: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34,039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1,607,332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239,098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30"/>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r>
      <w:tr>
        <w:trPr>
          <w:trHeight w:val="223"/>
        </w:trPr>
        <w:tc>
          <w:tcPr>
            <w:tcW w:w="27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3,771,849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43"/>
        </w:trPr>
        <w:tc>
          <w:tcPr>
            <w:tcW w:w="2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 Value represents the weighted average grant date fair value.</w:t>
      </w:r>
    </w:p>
    <w:p>
      <w:pPr>
        <w:spacing w:after="0" w:line="3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of the stock options outstanding: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(Unaudited)</w:t>
            </w:r>
          </w:p>
        </w:tc>
      </w:tr>
      <w:tr>
        <w:trPr>
          <w:trHeight w:val="355"/>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w w:val="98"/>
              </w:rPr>
              <w:t>19. Share and Unit-Based Plans: (Continued)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33"/>
        </w:trPr>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80" w:type="dxa"/>
            <w:vAlign w:val="bottom"/>
            <w:gridSpan w:val="5"/>
          </w:tcPr>
          <w:p>
            <w:pPr>
              <w:ind w:left="580"/>
              <w:spacing w:after="0"/>
              <w:rPr>
                <w:sz w:val="20"/>
                <w:szCs w:val="20"/>
                <w:color w:val="auto"/>
              </w:rPr>
            </w:pPr>
            <w:r>
              <w:rPr>
                <w:rFonts w:ascii="Arial" w:cs="Arial" w:eastAsia="Arial" w:hAnsi="Arial"/>
                <w:sz w:val="16"/>
                <w:szCs w:val="16"/>
                <w:b w:val="1"/>
                <w:bCs w:val="1"/>
                <w:color w:val="auto"/>
              </w:rPr>
              <w:t>Stock Options</w:t>
            </w:r>
          </w:p>
        </w:tc>
      </w:tr>
      <w:tr>
        <w:trPr>
          <w:trHeight w:val="204"/>
        </w:trPr>
        <w:tc>
          <w:tcPr>
            <w:tcW w:w="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Units</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6"/>
              </w:rPr>
              <w:t>Value(1)</w:t>
            </w:r>
          </w:p>
        </w:tc>
        <w:tc>
          <w:tcPr>
            <w:tcW w:w="160" w:type="dxa"/>
            <w:vAlign w:val="bottom"/>
          </w:tcPr>
          <w:p>
            <w:pPr>
              <w:spacing w:after="0"/>
              <w:rPr>
                <w:sz w:val="17"/>
                <w:szCs w:val="17"/>
                <w:color w:val="auto"/>
              </w:rPr>
            </w:pPr>
          </w:p>
        </w:tc>
      </w:tr>
      <w:tr>
        <w:trPr>
          <w:trHeight w:val="233"/>
        </w:trPr>
        <w:tc>
          <w:tcPr>
            <w:tcW w:w="640" w:type="dxa"/>
            <w:vAlign w:val="bottom"/>
          </w:tcPr>
          <w:p>
            <w:pPr>
              <w:spacing w:after="0"/>
              <w:rPr>
                <w:sz w:val="20"/>
                <w:szCs w:val="20"/>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60" w:type="dxa"/>
            <w:vAlign w:val="bottom"/>
          </w:tcPr>
          <w:p>
            <w:pPr>
              <w:spacing w:after="0"/>
              <w:rPr>
                <w:sz w:val="20"/>
                <w:szCs w:val="20"/>
                <w:color w:val="auto"/>
              </w:rPr>
            </w:pPr>
          </w:p>
        </w:tc>
      </w:tr>
      <w:tr>
        <w:trPr>
          <w:trHeight w:val="223"/>
        </w:trPr>
        <w:tc>
          <w:tcPr>
            <w:tcW w:w="640" w:type="dxa"/>
            <w:vAlign w:val="bottom"/>
          </w:tcPr>
          <w:p>
            <w:pPr>
              <w:spacing w:after="0"/>
              <w:rPr>
                <w:sz w:val="19"/>
                <w:szCs w:val="19"/>
                <w:color w:val="auto"/>
              </w:rPr>
            </w:pPr>
          </w:p>
        </w:tc>
        <w:tc>
          <w:tcPr>
            <w:tcW w:w="3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42"/>
        </w:trPr>
        <w:tc>
          <w:tcPr>
            <w:tcW w:w="640" w:type="dxa"/>
            <w:vAlign w:val="bottom"/>
          </w:tcPr>
          <w:p>
            <w:pPr>
              <w:spacing w:after="0"/>
              <w:rPr>
                <w:sz w:val="20"/>
                <w:szCs w:val="20"/>
                <w:color w:val="auto"/>
              </w:rPr>
            </w:pPr>
          </w:p>
        </w:tc>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26,371</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60" w:type="dxa"/>
            <w:vAlign w:val="bottom"/>
          </w:tcPr>
          <w:p>
            <w:pPr>
              <w:spacing w:after="0"/>
              <w:rPr>
                <w:sz w:val="20"/>
                <w:szCs w:val="20"/>
                <w:color w:val="auto"/>
              </w:rPr>
            </w:pPr>
          </w:p>
        </w:tc>
      </w:tr>
      <w:tr>
        <w:trPr>
          <w:trHeight w:val="20"/>
        </w:trPr>
        <w:tc>
          <w:tcPr>
            <w:tcW w:w="64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150495</wp:posOffset>
            </wp:positionV>
            <wp:extent cx="1927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7860" cy="8255"/>
                    </a:xfrm>
                    <a:prstGeom prst="rect">
                      <a:avLst/>
                    </a:prstGeom>
                    <a:noFill/>
                  </pic:spPr>
                </pic:pic>
              </a:graphicData>
            </a:graphic>
          </wp:anchor>
        </w:drawing>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Value represents the weighted average exercise price.</w:t>
      </w:r>
    </w:p>
    <w:p>
      <w:pPr>
        <w:spacing w:after="0" w:line="2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1"/>
              </w:rPr>
              <w:t>For the Three Months Ended</w:t>
            </w:r>
          </w:p>
        </w:tc>
        <w:tc>
          <w:tcPr>
            <w:tcW w:w="120" w:type="dxa"/>
            <w:vAlign w:val="bottom"/>
          </w:tcPr>
          <w:p>
            <w:pPr>
              <w:spacing w:after="0"/>
              <w:rPr>
                <w:sz w:val="14"/>
                <w:szCs w:val="14"/>
                <w:color w:val="auto"/>
              </w:rPr>
            </w:pPr>
          </w:p>
        </w:tc>
        <w:tc>
          <w:tcPr>
            <w:tcW w:w="204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For the Six Months Ended June</w:t>
            </w:r>
          </w:p>
        </w:tc>
      </w:tr>
      <w:tr>
        <w:trPr>
          <w:trHeight w:val="188"/>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40" w:type="dxa"/>
            <w:vAlign w:val="bottom"/>
            <w:tcBorders>
              <w:bottom w:val="single" w:sz="8" w:color="auto"/>
            </w:tcBorders>
          </w:tcPr>
          <w:p>
            <w:pPr>
              <w:spacing w:after="0"/>
              <w:rPr>
                <w:sz w:val="16"/>
                <w:szCs w:val="16"/>
                <w:color w:val="auto"/>
              </w:rPr>
            </w:pPr>
          </w:p>
        </w:tc>
      </w:tr>
      <w:tr>
        <w:trPr>
          <w:trHeight w:val="189"/>
        </w:trPr>
        <w:tc>
          <w:tcPr>
            <w:tcW w:w="4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 Units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Phantom stock units</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7"/>
        </w:trPr>
        <w:tc>
          <w:tcPr>
            <w:tcW w:w="49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5,384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12,019</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11,446</w:t>
            </w: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20" w:firstLine="434"/>
        <w:spacing w:after="0" w:line="299" w:lineRule="auto"/>
        <w:rPr>
          <w:sz w:val="20"/>
          <w:szCs w:val="20"/>
          <w:color w:val="auto"/>
        </w:rPr>
      </w:pPr>
      <w:r>
        <w:rPr>
          <w:rFonts w:ascii="Arial" w:cs="Arial" w:eastAsia="Arial" w:hAnsi="Arial"/>
          <w:sz w:val="16"/>
          <w:szCs w:val="16"/>
          <w:color w:val="auto"/>
        </w:rPr>
        <w:t>The Company capitalized share and unit-based compensation costs of $1,077 and $1,101 for the three months ended June 30, 2023 and 2022, respectively, and $2,154 and $2,294 for the six months ended June 30, 2023 and 2022, respectively. Unrecognized compensation costs of share and unit-based plans at June 30, 2023 consisted of $12,327 from LTI Units, $2,130 from stock units and $363 from phantom stock units.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154"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of the TRSs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2480" w:type="dxa"/>
            <w:vAlign w:val="bottom"/>
            <w:tcBorders>
              <w:bottom w:val="single" w:sz="8" w:color="auto"/>
            </w:tcBorders>
            <w:gridSpan w:val="5"/>
          </w:tcPr>
          <w:p>
            <w:pPr>
              <w:jc w:val="right"/>
              <w:ind w:right="17"/>
              <w:spacing w:after="0"/>
              <w:rPr>
                <w:sz w:val="20"/>
                <w:szCs w:val="20"/>
                <w:color w:val="auto"/>
              </w:rPr>
            </w:pPr>
            <w:r>
              <w:rPr>
                <w:rFonts w:ascii="Arial" w:cs="Arial" w:eastAsia="Arial" w:hAnsi="Arial"/>
                <w:sz w:val="14"/>
                <w:szCs w:val="14"/>
                <w:b w:val="1"/>
                <w:bCs w:val="1"/>
                <w:color w:val="auto"/>
                <w:w w:val="94"/>
              </w:rPr>
              <w:t>For the Three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w w:val="91"/>
              </w:rPr>
              <w:t>For the Six Months Ended June 30,</w:t>
            </w:r>
          </w:p>
        </w:tc>
      </w:tr>
      <w:tr>
        <w:trPr>
          <w:trHeight w:val="189"/>
        </w:trPr>
        <w:tc>
          <w:tcPr>
            <w:tcW w:w="43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w:t>
            </w: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r>
      <w:tr>
        <w:trPr>
          <w:trHeight w:val="237"/>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(expense) benefit</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434"/>
        <w:spacing w:after="0" w:line="315" w:lineRule="auto"/>
        <w:rPr>
          <w:sz w:val="20"/>
          <w:szCs w:val="20"/>
          <w:color w:val="auto"/>
        </w:rPr>
      </w:pPr>
      <w:r>
        <w:rPr>
          <w:rFonts w:ascii="Arial" w:cs="Arial" w:eastAsia="Arial" w:hAnsi="Arial"/>
          <w:sz w:val="15"/>
          <w:szCs w:val="15"/>
          <w:color w:val="auto"/>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$24,625 and $23,114 were included in deferred charges and other assets, net at June 30, 2023 and December 31, 2022, respectively.</w:t>
      </w:r>
    </w:p>
    <w:p>
      <w:pPr>
        <w:spacing w:after="0" w:line="80"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 (Continued)</w:t>
      </w:r>
    </w:p>
    <w:p>
      <w:pPr>
        <w:spacing w:after="0" w:line="154" w:lineRule="exact"/>
        <w:rPr>
          <w:sz w:val="20"/>
          <w:szCs w:val="20"/>
          <w:color w:val="auto"/>
        </w:rPr>
      </w:pPr>
    </w:p>
    <w:p>
      <w:pPr>
        <w:jc w:val="both"/>
        <w:ind w:right="460"/>
        <w:spacing w:after="0" w:line="252" w:lineRule="auto"/>
        <w:rPr>
          <w:sz w:val="20"/>
          <w:szCs w:val="20"/>
          <w:color w:val="auto"/>
        </w:rPr>
      </w:pPr>
      <w:r>
        <w:rPr>
          <w:rFonts w:ascii="Arial" w:cs="Arial" w:eastAsia="Arial" w:hAnsi="Arial"/>
          <w:sz w:val="18"/>
          <w:szCs w:val="18"/>
          <w:color w:val="auto"/>
        </w:rPr>
        <w:t>negative, including the nature, frequency and severity of any current and cumulative losses, taxable income in carry back years, the scheduled reversal of deferred tax liabilities, tax planning strategies and projected future taxable income in making this assessment. As of June 30, 2023, the Company had no valuation allowance recorded.</w:t>
      </w:r>
    </w:p>
    <w:p>
      <w:pPr>
        <w:spacing w:after="0" w:line="123" w:lineRule="exact"/>
        <w:rPr>
          <w:sz w:val="20"/>
          <w:szCs w:val="20"/>
          <w:color w:val="auto"/>
        </w:rPr>
      </w:pPr>
    </w:p>
    <w:p>
      <w:pPr>
        <w:ind w:right="20" w:firstLine="434"/>
        <w:spacing w:after="0" w:line="261" w:lineRule="auto"/>
        <w:rPr>
          <w:sz w:val="20"/>
          <w:szCs w:val="20"/>
          <w:color w:val="auto"/>
        </w:rPr>
      </w:pPr>
      <w:r>
        <w:rPr>
          <w:rFonts w:ascii="Arial" w:cs="Arial" w:eastAsia="Arial" w:hAnsi="Arial"/>
          <w:sz w:val="18"/>
          <w:szCs w:val="18"/>
          <w:color w:val="auto"/>
        </w:rPr>
        <w:t>The tax years 2019 through 2021 remain open to examination by the taxing jurisdictions to which the Company is subject. The Company does not expect that the total amount of unrecognized tax benefit will materially change within the next twelve months.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41" w:lineRule="exact"/>
        <w:rPr>
          <w:sz w:val="20"/>
          <w:szCs w:val="20"/>
          <w:color w:val="auto"/>
        </w:rPr>
      </w:pPr>
    </w:p>
    <w:p>
      <w:pPr>
        <w:ind w:firstLine="434"/>
        <w:spacing w:after="0" w:line="246" w:lineRule="auto"/>
        <w:rPr>
          <w:sz w:val="20"/>
          <w:szCs w:val="20"/>
          <w:color w:val="auto"/>
        </w:rPr>
      </w:pPr>
      <w:r>
        <w:rPr>
          <w:rFonts w:ascii="Arial" w:cs="Arial" w:eastAsia="Arial" w:hAnsi="Arial"/>
          <w:sz w:val="18"/>
          <w:szCs w:val="18"/>
          <w:color w:val="auto"/>
        </w:rPr>
        <w:t>On July 17, 2023, the Company sold Superstition Springs Power Center, a 204,000 square foot power center in Mesa, Arizona, for $5,634, which resulted in a gain on sale of assets of approximately $1,913. The Company used the net proceeds to pay down debt.</w:t>
      </w:r>
    </w:p>
    <w:p>
      <w:pPr>
        <w:spacing w:after="0" w:line="220" w:lineRule="exact"/>
        <w:rPr>
          <w:sz w:val="20"/>
          <w:szCs w:val="20"/>
          <w:color w:val="auto"/>
        </w:rPr>
      </w:pPr>
    </w:p>
    <w:p>
      <w:pPr>
        <w:ind w:right="500" w:firstLine="434"/>
        <w:spacing w:after="0" w:line="261" w:lineRule="auto"/>
        <w:rPr>
          <w:sz w:val="20"/>
          <w:szCs w:val="20"/>
          <w:color w:val="auto"/>
        </w:rPr>
      </w:pPr>
      <w:r>
        <w:rPr>
          <w:rFonts w:ascii="Arial" w:cs="Arial" w:eastAsia="Arial" w:hAnsi="Arial"/>
          <w:sz w:val="18"/>
          <w:szCs w:val="18"/>
          <w:color w:val="auto"/>
        </w:rPr>
        <w:t>On August 4, 2023, the Company announced a dividend/distribution of $0.17 per share for common stockholders and OP Unitholders of record on August 18, 2023. All dividends/distributions will be paid 100% in cash on September 8, 2023.</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900"/>
        <w:spacing w:after="0" w:line="458"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IMPORTANT INFORMATION RELATED TO FORWARD-LOOKING STATEMENTS</w:t>
      </w:r>
    </w:p>
    <w:p>
      <w:pPr>
        <w:ind w:right="20" w:firstLine="434"/>
        <w:spacing w:after="0" w:line="284" w:lineRule="auto"/>
        <w:rPr>
          <w:sz w:val="20"/>
          <w:szCs w:val="20"/>
          <w:color w:val="auto"/>
        </w:rPr>
      </w:pPr>
      <w:r>
        <w:rPr>
          <w:rFonts w:ascii="Arial" w:cs="Arial" w:eastAsia="Arial" w:hAnsi="Arial"/>
          <w:sz w:val="16"/>
          <w:szCs w:val="16"/>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00" w:lineRule="exact"/>
        <w:rPr>
          <w:sz w:val="20"/>
          <w:szCs w:val="20"/>
          <w:color w:val="auto"/>
        </w:rPr>
      </w:pPr>
    </w:p>
    <w:p>
      <w:pPr>
        <w:ind w:left="1260" w:hanging="62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55" w:lineRule="exact"/>
        <w:rPr>
          <w:rFonts w:ascii="Arial" w:cs="Arial" w:eastAsia="Arial" w:hAnsi="Arial"/>
          <w:sz w:val="18"/>
          <w:szCs w:val="18"/>
          <w:color w:val="auto"/>
        </w:rPr>
      </w:pPr>
    </w:p>
    <w:p>
      <w:pPr>
        <w:ind w:left="1260" w:right="160" w:hanging="624"/>
        <w:spacing w:after="0" w:line="261"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and financial stability of its retailers;</w:t>
      </w:r>
    </w:p>
    <w:p>
      <w:pPr>
        <w:spacing w:after="0" w:line="22" w:lineRule="exact"/>
        <w:rPr>
          <w:rFonts w:ascii="Arial" w:cs="Arial" w:eastAsia="Arial" w:hAnsi="Arial"/>
          <w:sz w:val="18"/>
          <w:szCs w:val="18"/>
          <w:color w:val="auto"/>
        </w:rPr>
      </w:pPr>
    </w:p>
    <w:p>
      <w:pPr>
        <w:ind w:left="1260" w:hanging="62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55" w:lineRule="exact"/>
        <w:rPr>
          <w:rFonts w:ascii="Arial" w:cs="Arial" w:eastAsia="Arial" w:hAnsi="Arial"/>
          <w:sz w:val="18"/>
          <w:szCs w:val="18"/>
          <w:color w:val="auto"/>
        </w:rPr>
      </w:pPr>
    </w:p>
    <w:p>
      <w:pPr>
        <w:ind w:left="1260" w:hanging="62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55" w:lineRule="exact"/>
        <w:rPr>
          <w:rFonts w:ascii="Arial" w:cs="Arial" w:eastAsia="Arial" w:hAnsi="Arial"/>
          <w:sz w:val="18"/>
          <w:szCs w:val="18"/>
          <w:color w:val="auto"/>
        </w:rPr>
      </w:pPr>
    </w:p>
    <w:p>
      <w:pPr>
        <w:ind w:left="1260" w:hanging="62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55" w:lineRule="exact"/>
        <w:rPr>
          <w:rFonts w:ascii="Arial" w:cs="Arial" w:eastAsia="Arial" w:hAnsi="Arial"/>
          <w:sz w:val="18"/>
          <w:szCs w:val="18"/>
          <w:color w:val="auto"/>
        </w:rPr>
      </w:pPr>
    </w:p>
    <w:p>
      <w:pPr>
        <w:ind w:left="1260" w:hanging="62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55" w:lineRule="exact"/>
        <w:rPr>
          <w:rFonts w:ascii="Arial" w:cs="Arial" w:eastAsia="Arial" w:hAnsi="Arial"/>
          <w:sz w:val="18"/>
          <w:szCs w:val="18"/>
          <w:color w:val="auto"/>
        </w:rPr>
      </w:pPr>
    </w:p>
    <w:p>
      <w:pPr>
        <w:ind w:left="1260" w:hanging="62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55" w:lineRule="exact"/>
        <w:rPr>
          <w:rFonts w:ascii="Arial" w:cs="Arial" w:eastAsia="Arial" w:hAnsi="Arial"/>
          <w:sz w:val="18"/>
          <w:szCs w:val="18"/>
          <w:color w:val="auto"/>
        </w:rPr>
      </w:pPr>
    </w:p>
    <w:p>
      <w:pPr>
        <w:ind w:left="1260" w:right="480" w:hanging="624"/>
        <w:spacing w:after="0" w:line="261"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102" w:lineRule="exact"/>
        <w:rPr>
          <w:sz w:val="20"/>
          <w:szCs w:val="20"/>
          <w:color w:val="auto"/>
        </w:rPr>
      </w:pPr>
    </w:p>
    <w:p>
      <w:pPr>
        <w:ind w:right="20" w:firstLine="434"/>
        <w:spacing w:after="0" w:line="297" w:lineRule="auto"/>
        <w:rPr>
          <w:sz w:val="20"/>
          <w:szCs w:val="20"/>
          <w:color w:val="auto"/>
        </w:rPr>
      </w:pPr>
      <w:r>
        <w:rPr>
          <w:rFonts w:ascii="Arial" w:cs="Arial" w:eastAsia="Arial" w:hAnsi="Arial"/>
          <w:sz w:val="15"/>
          <w:szCs w:val="15"/>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rising interest rates and inflation and its impact on the financial condition and results of operation of the Company and its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COVID-19 or any future pandemic, epidemic or outbreak of any other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2022,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154"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June 30, 2023, the Operating Partnership owned or had an ownership interest in 44 regional town centers (including office, hotel and residential space adjacent to these shopping centers), four community/power shopping centers, one office property and one redevelopment property. These 50 regional town centers, community/power shopping centers, office and redevelopment properties consist of approximately 47 million square feet of gross leasable area ("GLA") and are referred to herein as the "Centers". The Centers 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referred to herein as the "Management Companies"). The Company is a self-administered and self-managed real estate investment trust ("REIT") and conducts all of its operations through the Operating Partnership and the Management Companies.</w:t>
      </w:r>
    </w:p>
    <w:p>
      <w:pPr>
        <w:spacing w:after="0" w:line="102" w:lineRule="exact"/>
        <w:rPr>
          <w:sz w:val="20"/>
          <w:szCs w:val="20"/>
          <w:color w:val="auto"/>
        </w:rPr>
      </w:pPr>
    </w:p>
    <w:p>
      <w:pPr>
        <w:ind w:right="120" w:firstLine="434"/>
        <w:spacing w:after="0" w:line="249"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three and six months ended June 30, 2023 and 2022. It compares the results of operations for the three months ended June 30, 2023 to the results of operations for the three months ended June 30, 2022. It also compares the results of operations and cash flows for the six months ended June 30, 2023 to the results of operations and cash flows for the six months ended June 30, 2022.</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information should be read in conjunction with the accompanying consolidated financial statements and notes thereto.</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35" w:lineRule="exact"/>
        <w:rPr>
          <w:sz w:val="20"/>
          <w:szCs w:val="20"/>
          <w:color w:val="auto"/>
        </w:rPr>
      </w:pPr>
    </w:p>
    <w:p>
      <w:pPr>
        <w:jc w:val="both"/>
        <w:ind w:right="40" w:firstLine="434"/>
        <w:spacing w:after="0" w:line="249" w:lineRule="auto"/>
        <w:rPr>
          <w:sz w:val="20"/>
          <w:szCs w:val="20"/>
          <w:color w:val="auto"/>
        </w:rPr>
      </w:pPr>
      <w:r>
        <w:rPr>
          <w:rFonts w:ascii="Arial" w:cs="Arial" w:eastAsia="Arial" w:hAnsi="Arial"/>
          <w:sz w:val="18"/>
          <w:szCs w:val="18"/>
          <w:color w:val="auto"/>
        </w:rPr>
        <w:t>On August 2, 2022, the Company acquired the remaining 50% ownership interest in two former Sears parcels (Deptford Mall and Vintage Faire Mall) in MS Portfolio LLC, the Company's joint venture with Seritage Growth Properties ("Seritage"), for a total purchase price of $24.5 million. Effective as of August 2, 2022, the Company now owns and has consolidated its 100% interest in these two former Sears parcels in its consolidated financial statements (See Note 15 —Acquisitions in the Notes to the Consolidated Financial Statements).</w:t>
      </w:r>
    </w:p>
    <w:p>
      <w:pPr>
        <w:spacing w:after="0" w:line="127" w:lineRule="exact"/>
        <w:rPr>
          <w:sz w:val="20"/>
          <w:szCs w:val="20"/>
          <w:color w:val="auto"/>
        </w:rPr>
      </w:pPr>
    </w:p>
    <w:p>
      <w:pPr>
        <w:ind w:right="20" w:firstLine="434"/>
        <w:spacing w:after="0" w:line="290" w:lineRule="auto"/>
        <w:rPr>
          <w:sz w:val="20"/>
          <w:szCs w:val="20"/>
          <w:color w:val="auto"/>
        </w:rPr>
      </w:pPr>
      <w:r>
        <w:rPr>
          <w:rFonts w:ascii="Arial" w:cs="Arial" w:eastAsia="Arial" w:hAnsi="Arial"/>
          <w:sz w:val="16"/>
          <w:szCs w:val="16"/>
          <w:color w:val="auto"/>
        </w:rPr>
        <w:t>On May 18, 2023, the Company acquired Seritage’s remaining 50% ownership interest in the MS Portfolio LLC joint venture that owns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(See Note 15—Acquisitions).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Dispositions:</w:t>
      </w:r>
    </w:p>
    <w:p>
      <w:pPr>
        <w:spacing w:after="0" w:line="135" w:lineRule="exact"/>
        <w:rPr>
          <w:sz w:val="20"/>
          <w:szCs w:val="20"/>
          <w:color w:val="auto"/>
        </w:rPr>
      </w:pPr>
    </w:p>
    <w:p>
      <w:pPr>
        <w:ind w:right="180" w:firstLine="434"/>
        <w:spacing w:after="0" w:line="252" w:lineRule="auto"/>
        <w:rPr>
          <w:sz w:val="20"/>
          <w:szCs w:val="20"/>
          <w:color w:val="auto"/>
        </w:rPr>
      </w:pPr>
      <w:r>
        <w:rPr>
          <w:rFonts w:ascii="Arial" w:cs="Arial" w:eastAsia="Arial" w:hAnsi="Arial"/>
          <w:sz w:val="18"/>
          <w:szCs w:val="18"/>
          <w:color w:val="auto"/>
        </w:rPr>
        <w:t>For the twelve months ended December 31, 2022, the Company and certain joint venture partners sold various land parcels in separate transactions, resulting in the Company’s share of the gain on sale of land of $23.9 million. The Company used its share of the proceeds from these sales of $60.3 million to pay down debt and for other general corporate purposes.</w:t>
      </w:r>
    </w:p>
    <w:p>
      <w:pPr>
        <w:spacing w:after="0" w:line="123" w:lineRule="exact"/>
        <w:rPr>
          <w:sz w:val="20"/>
          <w:szCs w:val="20"/>
          <w:color w:val="auto"/>
        </w:rPr>
      </w:pPr>
    </w:p>
    <w:p>
      <w:pPr>
        <w:ind w:right="20" w:firstLine="434"/>
        <w:spacing w:after="0" w:line="299" w:lineRule="auto"/>
        <w:rPr>
          <w:sz w:val="20"/>
          <w:szCs w:val="20"/>
          <w:color w:val="auto"/>
        </w:rPr>
      </w:pPr>
      <w:r>
        <w:rPr>
          <w:rFonts w:ascii="Arial" w:cs="Arial" w:eastAsia="Arial" w:hAnsi="Arial"/>
          <w:sz w:val="16"/>
          <w:szCs w:val="16"/>
          <w:color w:val="auto"/>
        </w:rPr>
        <w:t>For the six months ended June 30, 2023, the Company and certain joint venture partners sold various land parcels in separate transactions, resulting in the Company’s share of the gain on sale of land of $2.6 million. The Company’s proceeds from these sales in the six months ended June 30, 2023 were $3.0 million. The Company used its share of the proceeds from these sales to pay down debt and for other general corporate purposes.</w:t>
      </w:r>
    </w:p>
    <w:p>
      <w:pPr>
        <w:spacing w:after="0" w:line="88" w:lineRule="exact"/>
        <w:rPr>
          <w:sz w:val="20"/>
          <w:szCs w:val="20"/>
          <w:color w:val="auto"/>
        </w:rPr>
      </w:pPr>
    </w:p>
    <w:p>
      <w:pPr>
        <w:ind w:right="380" w:firstLine="434"/>
        <w:spacing w:after="0" w:line="324" w:lineRule="auto"/>
        <w:rPr>
          <w:sz w:val="20"/>
          <w:szCs w:val="20"/>
          <w:color w:val="auto"/>
        </w:rPr>
      </w:pPr>
      <w:r>
        <w:rPr>
          <w:rFonts w:ascii="Arial" w:cs="Arial" w:eastAsia="Arial" w:hAnsi="Arial"/>
          <w:sz w:val="16"/>
          <w:szCs w:val="16"/>
          <w:color w:val="auto"/>
        </w:rPr>
        <w:t>On May 2, 2023, the Company sold The Marketplace at Flagstaff, a 268,000 square foot power center in Flagstaff, Arizona, for $23.5 million, which resulted in a gain on sale of assets of $10.3 million. The Company used the net proceeds to pay down debt. (See "Liquidity and Capital Resources").</w:t>
      </w:r>
    </w:p>
    <w:p>
      <w:pPr>
        <w:spacing w:after="0" w:line="42" w:lineRule="exact"/>
        <w:rPr>
          <w:sz w:val="20"/>
          <w:szCs w:val="20"/>
          <w:color w:val="auto"/>
        </w:rPr>
      </w:pPr>
    </w:p>
    <w:p>
      <w:pPr>
        <w:ind w:right="260" w:firstLine="434"/>
        <w:spacing w:after="0" w:line="238" w:lineRule="auto"/>
        <w:rPr>
          <w:sz w:val="20"/>
          <w:szCs w:val="20"/>
          <w:color w:val="auto"/>
        </w:rPr>
      </w:pPr>
      <w:r>
        <w:rPr>
          <w:rFonts w:ascii="Arial" w:cs="Arial" w:eastAsia="Arial" w:hAnsi="Arial"/>
          <w:sz w:val="18"/>
          <w:szCs w:val="18"/>
          <w:color w:val="auto"/>
        </w:rPr>
        <w:t>On July 17, 2023, the Company sold Superstition Springs Power Center, a 204,000 square foot power center in Mesa, Arizona, for $5.6 million, which resulted in a gain on sale of assets of approximately $1.9 million. The Company used the net proceeds to pay down debt. (See "Liquidity and Capital Resources").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160" w:firstLine="434"/>
        <w:spacing w:after="0" w:line="252" w:lineRule="auto"/>
        <w:rPr>
          <w:sz w:val="20"/>
          <w:szCs w:val="20"/>
          <w:color w:val="auto"/>
        </w:rPr>
      </w:pPr>
      <w:r>
        <w:rPr>
          <w:rFonts w:ascii="Arial" w:cs="Arial" w:eastAsia="Arial" w:hAnsi="Arial"/>
          <w:sz w:val="18"/>
          <w:szCs w:val="18"/>
          <w:color w:val="auto"/>
        </w:rPr>
        <w:t>On February 2, 2022, the Company’s joint venture in FlatIron Crossing replaced the existing $197 million loan on the property with a new $175 million loan that bears interest at SOFR plus 3.70% and matures on February 9, 2025, including extension options. The loan is covered by an interest rate cap agreement that effectively prevents SOFR from exceeding 4.0% through February 15, 2024.</w:t>
      </w:r>
    </w:p>
    <w:p>
      <w:pPr>
        <w:spacing w:after="0" w:line="123"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On April 29, 2022, the Company replaced the existing $110.6 million loan on Pacific View with a new $72.0 million loan that bears interest at a fixed rate of 5.29% and matures on May 6, 2032.</w:t>
      </w:r>
    </w:p>
    <w:p>
      <w:pPr>
        <w:spacing w:after="0" w:line="115" w:lineRule="exact"/>
        <w:rPr>
          <w:sz w:val="20"/>
          <w:szCs w:val="20"/>
          <w:color w:val="auto"/>
        </w:rPr>
      </w:pPr>
    </w:p>
    <w:p>
      <w:pPr>
        <w:ind w:right="280" w:firstLine="434"/>
        <w:spacing w:after="0" w:line="261" w:lineRule="auto"/>
        <w:rPr>
          <w:sz w:val="20"/>
          <w:szCs w:val="20"/>
          <w:color w:val="auto"/>
        </w:rPr>
      </w:pPr>
      <w:r>
        <w:rPr>
          <w:rFonts w:ascii="Arial" w:cs="Arial" w:eastAsia="Arial" w:hAnsi="Arial"/>
          <w:sz w:val="18"/>
          <w:szCs w:val="18"/>
          <w:color w:val="auto"/>
        </w:rPr>
        <w:t>On May 6, 2022, the Company closed on a two-year extension for The Oaks loan to June 5, 2024, at a new fixed interest rate of 5.25%. The Company repaid $5.0 million of the outstanding loan balance at closing.</w:t>
      </w:r>
    </w:p>
    <w:p>
      <w:pPr>
        <w:spacing w:after="0" w:line="102"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On July 1, 2022, the Company further extended the loan maturity on Danbury Fair Mall to July 1, 2023. The interest rate remained unchanged at 5.5%, and the Company repaid $10.0 million of the outstanding loan balance at closing.</w:t>
      </w:r>
    </w:p>
    <w:p>
      <w:pPr>
        <w:spacing w:after="0" w:line="115" w:lineRule="exact"/>
        <w:rPr>
          <w:sz w:val="20"/>
          <w:szCs w:val="20"/>
          <w:color w:val="auto"/>
        </w:rPr>
      </w:pPr>
    </w:p>
    <w:p>
      <w:pPr>
        <w:ind w:right="580" w:firstLine="434"/>
        <w:spacing w:after="0" w:line="261" w:lineRule="auto"/>
        <w:rPr>
          <w:sz w:val="20"/>
          <w:szCs w:val="20"/>
          <w:color w:val="auto"/>
        </w:rPr>
      </w:pPr>
      <w:r>
        <w:rPr>
          <w:rFonts w:ascii="Arial" w:cs="Arial" w:eastAsia="Arial" w:hAnsi="Arial"/>
          <w:sz w:val="18"/>
          <w:szCs w:val="18"/>
          <w:color w:val="auto"/>
        </w:rPr>
        <w:t>The Company did not repay the loan on Towne Mall on its maturity date of November 1, 2022, and has completed the process of transitioning the property to a loan receiver.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On November 14, 2022, the Company’s joint venture in Washington Square extended the maturity date on the $503.0 million loan on the property to November 1, 2026, including extension options. The loan bears interest at a floating interest rate of SOFR plus 4.0%, subject to an interest rate cap agreement that effectively prevents SOFR from exceeding 4.0% through November 1, 2023. The joint venture repaid $15.0 million ($9.0 million at the Company's pro rata share) of the loan at closing.</w:t>
      </w:r>
    </w:p>
    <w:p>
      <w:pPr>
        <w:spacing w:after="0" w:line="114" w:lineRule="exact"/>
        <w:rPr>
          <w:sz w:val="20"/>
          <w:szCs w:val="20"/>
          <w:color w:val="auto"/>
        </w:rPr>
      </w:pPr>
    </w:p>
    <w:p>
      <w:pPr>
        <w:ind w:right="240" w:firstLine="434"/>
        <w:spacing w:after="0" w:line="252" w:lineRule="auto"/>
        <w:rPr>
          <w:sz w:val="20"/>
          <w:szCs w:val="20"/>
          <w:color w:val="auto"/>
        </w:rPr>
      </w:pPr>
      <w:r>
        <w:rPr>
          <w:rFonts w:ascii="Arial" w:cs="Arial" w:eastAsia="Arial" w:hAnsi="Arial"/>
          <w:sz w:val="18"/>
          <w:szCs w:val="18"/>
          <w:color w:val="auto"/>
        </w:rPr>
        <w:t>On December 9, 2022, the Company extended the maturity date on the $300.0 million loan on Santa Monica Place to December 9, 2025, including extension options. The loan bears interest at a floating interest rate of LIBOR plus 1.48% and converted to 1-month Term SOFR plus 1.52% effective July 9, 2023.</w:t>
      </w:r>
    </w:p>
    <w:p>
      <w:pPr>
        <w:spacing w:after="0" w:line="123" w:lineRule="exact"/>
        <w:rPr>
          <w:sz w:val="20"/>
          <w:szCs w:val="20"/>
          <w:color w:val="auto"/>
        </w:rPr>
      </w:pPr>
    </w:p>
    <w:p>
      <w:pPr>
        <w:ind w:right="220" w:firstLine="434"/>
        <w:spacing w:after="0" w:line="252" w:lineRule="auto"/>
        <w:rPr>
          <w:sz w:val="20"/>
          <w:szCs w:val="20"/>
          <w:color w:val="auto"/>
        </w:rPr>
      </w:pPr>
      <w:r>
        <w:rPr>
          <w:rFonts w:ascii="Arial" w:cs="Arial" w:eastAsia="Arial" w:hAnsi="Arial"/>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123"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On January 20, 2023, the Company exercised its one-year extension option of the loan on Fashion District Philadelphia to January 22, 2024. The interest rate is SOFR plus 3.60% and the Company repaid $26.1 million of the outstanding loan balance at closing.</w:t>
      </w:r>
    </w:p>
    <w:p>
      <w:pPr>
        <w:spacing w:after="0" w:line="102" w:lineRule="exact"/>
        <w:rPr>
          <w:sz w:val="20"/>
          <w:szCs w:val="20"/>
          <w:color w:val="auto"/>
        </w:rPr>
      </w:pPr>
    </w:p>
    <w:p>
      <w:pPr>
        <w:ind w:right="140" w:firstLine="434"/>
        <w:spacing w:after="0" w:line="324" w:lineRule="auto"/>
        <w:rPr>
          <w:sz w:val="20"/>
          <w:szCs w:val="20"/>
          <w:color w:val="auto"/>
        </w:rPr>
      </w:pPr>
      <w:r>
        <w:rPr>
          <w:rFonts w:ascii="Arial" w:cs="Arial" w:eastAsia="Arial" w:hAnsi="Arial"/>
          <w:sz w:val="16"/>
          <w:szCs w:val="16"/>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68" w:lineRule="exact"/>
        <w:rPr>
          <w:sz w:val="20"/>
          <w:szCs w:val="20"/>
          <w:color w:val="auto"/>
        </w:rPr>
      </w:pPr>
    </w:p>
    <w:p>
      <w:pPr>
        <w:ind w:right="260" w:firstLine="434"/>
        <w:spacing w:after="0" w:line="261" w:lineRule="auto"/>
        <w:rPr>
          <w:sz w:val="20"/>
          <w:szCs w:val="20"/>
          <w:color w:val="auto"/>
        </w:rPr>
      </w:pPr>
      <w:r>
        <w:rPr>
          <w:rFonts w:ascii="Arial" w:cs="Arial" w:eastAsia="Arial" w:hAnsi="Arial"/>
          <w:sz w:val="18"/>
          <w:szCs w:val="18"/>
          <w:color w:val="auto"/>
        </w:rPr>
        <w:t>On March 22, 2023, the Company executed the one-year extension option on the credit facility to April 14, 2024. Effective March 13, 2023, the credit facility converted from LIBOR to 1-month Term SOFR (See "Liquidity and Capital Resources").</w:t>
      </w:r>
    </w:p>
    <w:p>
      <w:pPr>
        <w:spacing w:after="0" w:line="115" w:lineRule="exact"/>
        <w:rPr>
          <w:sz w:val="20"/>
          <w:szCs w:val="20"/>
          <w:color w:val="auto"/>
        </w:rPr>
      </w:pPr>
    </w:p>
    <w:p>
      <w:pPr>
        <w:jc w:val="both"/>
        <w:ind w:right="40" w:firstLine="434"/>
        <w:spacing w:after="0" w:line="252" w:lineRule="auto"/>
        <w:rPr>
          <w:sz w:val="20"/>
          <w:szCs w:val="20"/>
          <w:color w:val="auto"/>
        </w:rPr>
      </w:pPr>
      <w:r>
        <w:rPr>
          <w:rFonts w:ascii="Arial" w:cs="Arial" w:eastAsia="Arial" w:hAnsi="Arial"/>
          <w:sz w:val="18"/>
          <w:szCs w:val="18"/>
          <w:color w:val="auto"/>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spacing w:after="0" w:line="110" w:lineRule="exact"/>
        <w:rPr>
          <w:sz w:val="20"/>
          <w:szCs w:val="20"/>
          <w:color w:val="auto"/>
        </w:rPr>
      </w:pPr>
    </w:p>
    <w:p>
      <w:pPr>
        <w:ind w:right="300" w:firstLine="434"/>
        <w:spacing w:after="0" w:line="324" w:lineRule="auto"/>
        <w:rPr>
          <w:sz w:val="20"/>
          <w:szCs w:val="20"/>
          <w:color w:val="auto"/>
        </w:rPr>
      </w:pPr>
      <w:r>
        <w:rPr>
          <w:rFonts w:ascii="Arial" w:cs="Arial" w:eastAsia="Arial" w:hAnsi="Arial"/>
          <w:sz w:val="16"/>
          <w:szCs w:val="16"/>
          <w:color w:val="auto"/>
        </w:rPr>
        <w:t>Effective May 9, 2023, the Company’s joint venture in Country Club Plaza defaulted on the $295.2 million ($147.6 million at the Company's pro rata share) non-recourse loan on the property. The Company’s joint venture is in negotiations with the lender on the terms of the loan.</w:t>
      </w:r>
    </w:p>
    <w:p>
      <w:pPr>
        <w:spacing w:after="0" w:line="68" w:lineRule="exact"/>
        <w:rPr>
          <w:sz w:val="20"/>
          <w:szCs w:val="20"/>
          <w:color w:val="auto"/>
        </w:rPr>
      </w:pPr>
    </w:p>
    <w:p>
      <w:pPr>
        <w:jc w:val="both"/>
        <w:ind w:right="200" w:firstLine="434"/>
        <w:spacing w:after="0" w:line="252" w:lineRule="auto"/>
        <w:rPr>
          <w:sz w:val="20"/>
          <w:szCs w:val="20"/>
          <w:color w:val="auto"/>
        </w:rPr>
      </w:pPr>
      <w:r>
        <w:rPr>
          <w:rFonts w:ascii="Arial" w:cs="Arial" w:eastAsia="Arial" w:hAnsi="Arial"/>
          <w:sz w:val="18"/>
          <w:szCs w:val="18"/>
          <w:color w:val="auto"/>
        </w:rPr>
        <w:t>On June 27, 2023, the Company closed on a one-year extension on the $133.5 million loan on Danbury Fair Mall to July 1, 2024. The Company repaid $10.0 million of the outstanding loan balance at closing and the amended interest rate will be 7.5% as of July 1, 2023 incrementally increasing to 8.0% as of October 1, 2023, 8.5% as of January 1, 2024 and 9.0% as of April 1, 2024.</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135" w:lineRule="exact"/>
        <w:rPr>
          <w:sz w:val="20"/>
          <w:szCs w:val="20"/>
          <w:color w:val="auto"/>
        </w:rPr>
      </w:pPr>
    </w:p>
    <w:p>
      <w:pPr>
        <w:ind w:right="280" w:firstLine="434"/>
        <w:spacing w:after="0" w:line="324" w:lineRule="auto"/>
        <w:rPr>
          <w:sz w:val="20"/>
          <w:szCs w:val="20"/>
          <w:color w:val="auto"/>
        </w:rPr>
      </w:pPr>
      <w:r>
        <w:rPr>
          <w:rFonts w:ascii="Arial" w:cs="Arial" w:eastAsia="Arial" w:hAnsi="Arial"/>
          <w:sz w:val="16"/>
          <w:szCs w:val="16"/>
          <w:color w:val="auto"/>
        </w:rPr>
        <w:t>The Company has a 50/50 joint venture with Simon Property Group, which was initially formed to develop Los Angeles Premium Outlets, a premium outlet center in Carson, California. The Company has funded $39.5 million of the total $78.9 million incurred by the joint venture as of June 30, 2023.</w:t>
      </w:r>
    </w:p>
    <w:p>
      <w:pPr>
        <w:spacing w:after="0" w:line="68"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The Company is redeveloping an approximately 150,000 square foot, three-level space (formerly occupied by Bloomingdale’s and Arclight Theatre) at Santa Monica Place, a 534,000 square foot regional town center in Santa Monica, California, with an entertainment destination use, high-end fitness, and co-working space. The total cost of the project is estimated to be between $35.0 million and $40.0 million. The Company has incurred approximately $2.0 million as of June 30, 2023. The anticipated opening is in 2024.</w:t>
      </w:r>
    </w:p>
    <w:p>
      <w:pPr>
        <w:spacing w:after="0" w:line="127" w:lineRule="exact"/>
        <w:rPr>
          <w:sz w:val="20"/>
          <w:szCs w:val="20"/>
          <w:color w:val="auto"/>
        </w:rPr>
      </w:pPr>
    </w:p>
    <w:p>
      <w:pPr>
        <w:ind w:right="40" w:firstLine="434"/>
        <w:spacing w:after="0" w:line="249" w:lineRule="auto"/>
        <w:rPr>
          <w:sz w:val="20"/>
          <w:szCs w:val="20"/>
          <w:color w:val="auto"/>
        </w:rPr>
      </w:pPr>
      <w:r>
        <w:rPr>
          <w:rFonts w:ascii="Arial" w:cs="Arial" w:eastAsia="Arial" w:hAnsi="Arial"/>
          <w:sz w:val="18"/>
          <w:szCs w:val="18"/>
          <w:color w:val="auto"/>
        </w:rPr>
        <w:t>The Company’s joint venture in Scottsdale Fashion Square, a 1,881,000 square foot regional town center in Scottsdale, Arizona, is redeveloping a two-level Nordstrom wing with luxury-focused retail and restaurant uses. The total cost of the project is estimated to be between $80.0 million and $90.0 million, with $40.0 million and $45.0 million estimated to be the Company’s pro rata share. The Company has incurred $12.5 million of the total $25.1 million incurred by the joint venture as of June 30, 2023. The anticipated opening is in 2024.</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Transactions and Events:</w:t>
      </w:r>
    </w:p>
    <w:p>
      <w:pPr>
        <w:spacing w:after="0" w:line="148" w:lineRule="exact"/>
        <w:rPr>
          <w:sz w:val="20"/>
          <w:szCs w:val="20"/>
          <w:color w:val="auto"/>
        </w:rPr>
      </w:pPr>
    </w:p>
    <w:p>
      <w:pPr>
        <w:jc w:val="both"/>
        <w:ind w:right="160" w:firstLine="434"/>
        <w:spacing w:after="0" w:line="252" w:lineRule="auto"/>
        <w:rPr>
          <w:sz w:val="20"/>
          <w:szCs w:val="20"/>
          <w:color w:val="auto"/>
        </w:rPr>
      </w:pPr>
      <w:r>
        <w:rPr>
          <w:rFonts w:ascii="Arial" w:cs="Arial" w:eastAsia="Arial" w:hAnsi="Arial"/>
          <w:sz w:val="18"/>
          <w:szCs w:val="18"/>
          <w:color w:val="auto"/>
        </w:rPr>
        <w:t>The Company declared a cash dividend of $0.15 per share of its common stock for each of the first three quarters of 2022 and a cash dividend of $0.17 per share of its common stock for the fourth quarter of 2022 and the first two quarters of 2023. On August 4, 2023, the Company declared a third quarter cash dividend of $0.17 per share of its common stock, which will be paid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on September 8, 2023 to stockholders of record on August 18, 2023. The dividend amount will be reviewed by the Board on a quarterly basis.</w:t>
      </w:r>
    </w:p>
    <w:p>
      <w:pPr>
        <w:spacing w:after="0" w:line="171" w:lineRule="exact"/>
        <w:rPr>
          <w:sz w:val="20"/>
          <w:szCs w:val="20"/>
          <w:color w:val="auto"/>
        </w:rPr>
      </w:pPr>
    </w:p>
    <w:p>
      <w:pPr>
        <w:ind w:right="160" w:firstLine="434"/>
        <w:spacing w:after="0" w:line="284" w:lineRule="auto"/>
        <w:rPr>
          <w:sz w:val="20"/>
          <w:szCs w:val="20"/>
          <w:color w:val="auto"/>
        </w:rPr>
      </w:pPr>
      <w:r>
        <w:rPr>
          <w:rFonts w:ascii="Arial" w:cs="Arial" w:eastAsia="Arial" w:hAnsi="Arial"/>
          <w:sz w:val="16"/>
          <w:szCs w:val="16"/>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June 30, 2023, the Company had approximately $151.7 million of gross sales of its common stock available under the March 2021 ATM Program. The February 2021 ATM Program was fully utilized as of June 30, 2021 and is no longer active.</w:t>
      </w:r>
    </w:p>
    <w:p>
      <w:pPr>
        <w:spacing w:after="0" w:line="87"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See “—Liquidity and Capital Resources” for a further discussion of the Company’s anticipated liquidity needs, and the measures taken by the Company to meet those needs.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Inflation:</w:t>
      </w:r>
    </w:p>
    <w:p>
      <w:pPr>
        <w:spacing w:after="0" w:line="148"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4" w:lineRule="exact"/>
        <w:rPr>
          <w:sz w:val="20"/>
          <w:szCs w:val="20"/>
          <w:color w:val="auto"/>
        </w:rPr>
      </w:pPr>
    </w:p>
    <w:p>
      <w:pPr>
        <w:ind w:firstLine="434"/>
        <w:spacing w:after="0" w:line="327"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0" w:lineRule="exact"/>
        <w:rPr>
          <w:sz w:val="20"/>
          <w:szCs w:val="20"/>
          <w:color w:val="auto"/>
        </w:rPr>
      </w:pPr>
    </w:p>
    <w:p>
      <w:pPr>
        <w:ind w:right="20" w:firstLine="434"/>
        <w:spacing w:after="0" w:line="315" w:lineRule="auto"/>
        <w:rPr>
          <w:sz w:val="20"/>
          <w:szCs w:val="20"/>
          <w:color w:val="auto"/>
        </w:rPr>
      </w:pPr>
      <w:r>
        <w:rPr>
          <w:rFonts w:ascii="Arial" w:cs="Arial" w:eastAsia="Arial" w:hAnsi="Arial"/>
          <w:sz w:val="15"/>
          <w:szCs w:val="15"/>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148" w:lineRule="exact"/>
        <w:rPr>
          <w:sz w:val="20"/>
          <w:szCs w:val="20"/>
          <w:color w:val="auto"/>
        </w:rPr>
      </w:pPr>
    </w:p>
    <w:p>
      <w:pPr>
        <w:ind w:right="20" w:firstLine="434"/>
        <w:spacing w:after="0" w:line="277" w:lineRule="auto"/>
        <w:rPr>
          <w:sz w:val="20"/>
          <w:szCs w:val="20"/>
          <w:color w:val="auto"/>
        </w:rPr>
      </w:pPr>
      <w:r>
        <w:rPr>
          <w:rFonts w:ascii="Arial" w:cs="Arial" w:eastAsia="Arial" w:hAnsi="Arial"/>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13" w:lineRule="exact"/>
        <w:rPr>
          <w:sz w:val="20"/>
          <w:szCs w:val="20"/>
          <w:color w:val="auto"/>
        </w:rPr>
      </w:pPr>
    </w:p>
    <w:p>
      <w:pPr>
        <w:ind w:right="60" w:firstLine="434"/>
        <w:spacing w:after="0" w:line="290" w:lineRule="auto"/>
        <w:rPr>
          <w:sz w:val="20"/>
          <w:szCs w:val="20"/>
          <w:color w:val="auto"/>
        </w:rPr>
      </w:pPr>
      <w:r>
        <w:rPr>
          <w:rFonts w:ascii="Arial" w:cs="Arial" w:eastAsia="Arial" w:hAnsi="Arial"/>
          <w:sz w:val="16"/>
          <w:szCs w:val="16"/>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Impairment:</w:t>
      </w:r>
    </w:p>
    <w:p>
      <w:pPr>
        <w:spacing w:after="0" w:line="148" w:lineRule="exact"/>
        <w:rPr>
          <w:sz w:val="20"/>
          <w:szCs w:val="20"/>
          <w:color w:val="auto"/>
        </w:rPr>
      </w:pPr>
    </w:p>
    <w:p>
      <w:pPr>
        <w:ind w:right="80" w:firstLine="434"/>
        <w:spacing w:after="0" w:line="28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90" w:lineRule="exact"/>
        <w:rPr>
          <w:sz w:val="20"/>
          <w:szCs w:val="20"/>
          <w:color w:val="auto"/>
        </w:rPr>
      </w:pPr>
    </w:p>
    <w:p>
      <w:pPr>
        <w:ind w:right="20" w:firstLine="434"/>
        <w:spacing w:after="0" w:line="252"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96" w:lineRule="exact"/>
        <w:rPr>
          <w:sz w:val="20"/>
          <w:szCs w:val="20"/>
          <w:color w:val="auto"/>
        </w:rPr>
      </w:pPr>
    </w:p>
    <w:p>
      <w:pPr>
        <w:ind w:right="340" w:firstLine="434"/>
        <w:spacing w:after="0" w:line="252"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23" w:lineRule="exact"/>
        <w:rPr>
          <w:sz w:val="20"/>
          <w:szCs w:val="20"/>
          <w:color w:val="auto"/>
        </w:rPr>
      </w:pPr>
    </w:p>
    <w:p>
      <w:pPr>
        <w:ind w:right="60" w:firstLine="434"/>
        <w:spacing w:after="0" w:line="286" w:lineRule="auto"/>
        <w:rPr>
          <w:sz w:val="20"/>
          <w:szCs w:val="20"/>
          <w:color w:val="auto"/>
        </w:rPr>
      </w:pPr>
      <w:r>
        <w:rPr>
          <w:rFonts w:ascii="Arial" w:cs="Arial" w:eastAsia="Arial" w:hAnsi="Arial"/>
          <w:sz w:val="16"/>
          <w:szCs w:val="16"/>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1"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Many of the variations in the results of operations, discussed below, occurred because of the transactions affecting the Company’s properties described in Management’s Overview and Summary above, including the Redevelopment Properties, the JV Transition Centers and the Disposition Property (as defined 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Property”).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Property, for the periods of comparison.</w:t>
      </w:r>
    </w:p>
    <w:p>
      <w:pPr>
        <w:spacing w:after="0" w:line="90" w:lineRule="exact"/>
        <w:rPr>
          <w:sz w:val="20"/>
          <w:szCs w:val="20"/>
          <w:color w:val="auto"/>
        </w:rPr>
      </w:pPr>
    </w:p>
    <w:p>
      <w:pPr>
        <w:jc w:val="both"/>
        <w:ind w:right="140" w:firstLine="434"/>
        <w:spacing w:after="0" w:line="286" w:lineRule="auto"/>
        <w:rPr>
          <w:sz w:val="20"/>
          <w:szCs w:val="20"/>
          <w:color w:val="auto"/>
        </w:rPr>
      </w:pPr>
      <w:r>
        <w:rPr>
          <w:rFonts w:ascii="Arial" w:cs="Arial" w:eastAsia="Arial" w:hAnsi="Arial"/>
          <w:sz w:val="16"/>
          <w:szCs w:val="16"/>
          <w:color w:val="auto"/>
        </w:rPr>
        <w:t>For the comparison of the three and six months ended June 30, 2023 to the three and six months ended June 30, 2022, the JV Transition Centers are the two former Sears parcels at Deptford Mall and Vintage Faire Mall and the five former Sears parcels at Chandler Fashion Center, Danbury Fair Mall, Freehold Raceway Mall, Los Cerritos Center and Washington Square (See “Acquisitions” in Management’s Overview and Summary). The Disposition Property is The Marketplace at Flagstaff (See "Dispositions" in Management’s Overview and Summary). For the comparison of the three and six months ended June 30, 2023 to the three and six months ended June 30, 2022, there are no Redevelopment Properties.</w:t>
      </w:r>
    </w:p>
    <w:p>
      <w:pPr>
        <w:spacing w:after="0" w:line="100" w:lineRule="exact"/>
        <w:rPr>
          <w:sz w:val="20"/>
          <w:szCs w:val="20"/>
          <w:color w:val="auto"/>
        </w:rPr>
      </w:pPr>
    </w:p>
    <w:p>
      <w:pPr>
        <w:ind w:right="360" w:firstLine="434"/>
        <w:spacing w:after="0" w:line="261"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115" w:lineRule="exact"/>
        <w:rPr>
          <w:sz w:val="20"/>
          <w:szCs w:val="20"/>
          <w:color w:val="auto"/>
        </w:rPr>
      </w:pPr>
    </w:p>
    <w:p>
      <w:pPr>
        <w:ind w:right="300" w:firstLine="434"/>
        <w:spacing w:after="0" w:line="249" w:lineRule="auto"/>
        <w:rPr>
          <w:sz w:val="20"/>
          <w:szCs w:val="20"/>
          <w:color w:val="auto"/>
        </w:rPr>
      </w:pPr>
      <w:r>
        <w:rPr>
          <w:rFonts w:ascii="Arial" w:cs="Arial" w:eastAsia="Arial" w:hAnsi="Arial"/>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14" w:lineRule="exact"/>
        <w:rPr>
          <w:sz w:val="20"/>
          <w:szCs w:val="20"/>
          <w:color w:val="auto"/>
        </w:rPr>
      </w:pPr>
    </w:p>
    <w:p>
      <w:pPr>
        <w:ind w:right="20" w:firstLine="434"/>
        <w:spacing w:after="0" w:line="290" w:lineRule="auto"/>
        <w:rPr>
          <w:sz w:val="20"/>
          <w:szCs w:val="20"/>
          <w:color w:val="auto"/>
        </w:rPr>
      </w:pPr>
      <w:r>
        <w:rPr>
          <w:rFonts w:ascii="Arial" w:cs="Arial" w:eastAsia="Arial" w:hAnsi="Arial"/>
          <w:sz w:val="16"/>
          <w:szCs w:val="16"/>
          <w:color w:val="auto"/>
        </w:rPr>
        <w:t>During the second quarter of 2023, comparable tenant sales for spaces less than 10,000 square feet across the portfolio decreased by 4.3% relative to the second quarter of 2022. The leased occupancy rate of 92.6% at June 30, 2023 represented a 0.8% increase from 91.8% at June 30, 2022. Releasing spreads increased as the Company executed leases at an average rent of $61.34 for new and renewal leases executed compared to $55.12 on leases expiring, resulting in a releasing spread increase of $6.22 per square foot, or 11.3%, for the trailing twelve months ended June 30, 2023.</w:t>
      </w:r>
    </w:p>
    <w:p>
      <w:pPr>
        <w:spacing w:after="0" w:line="97" w:lineRule="exact"/>
        <w:rPr>
          <w:sz w:val="20"/>
          <w:szCs w:val="20"/>
          <w:color w:val="auto"/>
        </w:rPr>
      </w:pPr>
    </w:p>
    <w:p>
      <w:pPr>
        <w:ind w:right="180" w:firstLine="434"/>
        <w:spacing w:after="0" w:line="249" w:lineRule="auto"/>
        <w:rPr>
          <w:sz w:val="20"/>
          <w:szCs w:val="20"/>
          <w:color w:val="auto"/>
        </w:rPr>
      </w:pPr>
      <w:r>
        <w:rPr>
          <w:rFonts w:ascii="Arial" w:cs="Arial" w:eastAsia="Arial" w:hAnsi="Arial"/>
          <w:sz w:val="18"/>
          <w:szCs w:val="18"/>
          <w:color w:val="auto"/>
        </w:rPr>
        <w:t>The Company continues to renew or replace leases that are scheduled to expire in 2023, however, due to a variety of factors, the Company cannot be certain of its ability to sign, renew or replace leases expiring in 2023 or beyond. The remaining 2023 lease expirations continue to be an important focal point for the Company. As of June 30, 2023, the Company has executed renewal leases or commitments on 76% of its 2023 expiring square footage of space that is not otherwise expected to close, with another 17% in the letter of intent stage.</w:t>
      </w:r>
    </w:p>
    <w:p>
      <w:pPr>
        <w:spacing w:after="0" w:line="127" w:lineRule="exact"/>
        <w:rPr>
          <w:sz w:val="20"/>
          <w:szCs w:val="20"/>
          <w:color w:val="auto"/>
        </w:rPr>
      </w:pPr>
    </w:p>
    <w:p>
      <w:pPr>
        <w:ind w:right="100" w:firstLine="434"/>
        <w:spacing w:after="0" w:line="261" w:lineRule="auto"/>
        <w:rPr>
          <w:sz w:val="20"/>
          <w:szCs w:val="20"/>
          <w:color w:val="auto"/>
        </w:rPr>
      </w:pPr>
      <w:r>
        <w:rPr>
          <w:rFonts w:ascii="Arial" w:cs="Arial" w:eastAsia="Arial" w:hAnsi="Arial"/>
          <w:sz w:val="18"/>
          <w:szCs w:val="18"/>
          <w:color w:val="auto"/>
        </w:rPr>
        <w:t>During the quarter ended June 30, 2023, the Company signed 70 new leases and 121 renewal leases comprising approximately 1.4 million square feet of GLA. The average tenant allowance was $14.13 per square foot.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4"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color w:val="auto"/>
        </w:rPr>
        <w:t>The Company has a long-term four-pronged business strategy that focuses on the acquisition, leasing and management, redevelopment and development of regional town centers. Although the majority of the key fundamentals at the Centers continued to improve during 2022 and into the first half of 2023, operating results in 2023 could be negatively impacted by certain macro-economic factors, including any continued increase in inflation and interest rates or an economic slowdown or recession.</w:t>
      </w:r>
    </w:p>
    <w:p>
      <w:pPr>
        <w:spacing w:after="0" w:line="127" w:lineRule="exact"/>
        <w:rPr>
          <w:sz w:val="20"/>
          <w:szCs w:val="20"/>
          <w:color w:val="auto"/>
        </w:rPr>
      </w:pPr>
    </w:p>
    <w:p>
      <w:pPr>
        <w:ind w:firstLine="434"/>
        <w:spacing w:after="0" w:line="299" w:lineRule="auto"/>
        <w:rPr>
          <w:sz w:val="20"/>
          <w:szCs w:val="20"/>
          <w:color w:val="auto"/>
        </w:rPr>
      </w:pPr>
      <w:r>
        <w:rPr>
          <w:rFonts w:ascii="Arial" w:cs="Arial" w:eastAsia="Arial" w:hAnsi="Arial"/>
          <w:sz w:val="16"/>
          <w:szCs w:val="16"/>
          <w:color w:val="auto"/>
        </w:rPr>
        <w:t>Traffic at the Company’s Centers for the first half of 2023 was approximately 95% of 2022 levels. Portfolio tenant sales from spaces less than 10,000 square feet were $853 compared to $869 for the trailing twelve months ended December 31, 2022. Comparable tenant sales from spaces less than 10,000 square feet across the portfolio for the trailing twelve months ended June 30, 2023 decreased by 1.6% compared to the same timeframe in 2022.</w:t>
      </w:r>
    </w:p>
    <w:p>
      <w:pPr>
        <w:spacing w:after="0" w:line="75" w:lineRule="exact"/>
        <w:rPr>
          <w:sz w:val="20"/>
          <w:szCs w:val="20"/>
          <w:color w:val="auto"/>
        </w:rPr>
      </w:pPr>
    </w:p>
    <w:p>
      <w:pPr>
        <w:ind w:right="80" w:firstLine="434"/>
        <w:spacing w:after="0" w:line="284" w:lineRule="auto"/>
        <w:rPr>
          <w:sz w:val="20"/>
          <w:szCs w:val="20"/>
          <w:color w:val="auto"/>
        </w:rPr>
      </w:pPr>
      <w:r>
        <w:rPr>
          <w:rFonts w:ascii="Arial" w:cs="Arial" w:eastAsia="Arial" w:hAnsi="Arial"/>
          <w:sz w:val="16"/>
          <w:szCs w:val="16"/>
          <w:color w:val="auto"/>
        </w:rPr>
        <w:t>During 2022, the Company leased 3.8 million square feet, which represented the strongest year of leasing volume for the Company when measured on a comparable center basis since before the 2009 Global Financial Crisis, and square footage leasing volumes for the first half of 2023 have outpaced the same timeframe in 2022. During the second quarter of 2023, the Company signed 191 leases for approximately 1.4 million square feet, compared to 270 leases and 1.2 million square feet leased during the second quarter of 2022, representing a 21% increase in the amount of square footage leased and a 29% decrease in the number of leases signed on a comparable center basis. For the six months ending June 30, 2023, the Company has signed leases for 34% more square footage than during the same timeframe in 2022, on a comparable center basis.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firstLine="434"/>
        <w:spacing w:after="0" w:line="309" w:lineRule="auto"/>
        <w:rPr>
          <w:sz w:val="20"/>
          <w:szCs w:val="20"/>
          <w:color w:val="auto"/>
        </w:rPr>
      </w:pPr>
      <w:r>
        <w:rPr>
          <w:rFonts w:ascii="Arial" w:cs="Arial" w:eastAsia="Arial" w:hAnsi="Arial"/>
          <w:sz w:val="15"/>
          <w:szCs w:val="15"/>
          <w:color w:val="auto"/>
        </w:rPr>
        <w:t>The Company believes that diversity of use within its tenant base will be a prominent internal growth catalyst at its Centers going forward, as new uses enhance the productivity and diversity of the tenant mix and have the potential to significantly increase customer traffic at the applicable Centers. During the quarter ended June 30, 2023, the Company signed deals for new stores with new-to-Macerich portfolio uses for 124,000 square feet, with another 197,000 square feet of such new-to-Macerich portfolio leases currently in negotiation as of the date of this Quarterly Report on Form 10-Q. During the twelve months ended December 31, 2022, the Company signed 101 leases for new stores with new-to-Macerich portfolio uses totaling approximately 441,000 square feet.</w:t>
      </w:r>
    </w:p>
    <w:p>
      <w:pPr>
        <w:spacing w:after="0" w:line="73" w:lineRule="exact"/>
        <w:rPr>
          <w:sz w:val="20"/>
          <w:szCs w:val="20"/>
          <w:color w:val="auto"/>
        </w:rPr>
      </w:pPr>
    </w:p>
    <w:p>
      <w:pPr>
        <w:ind w:right="440" w:firstLine="434"/>
        <w:spacing w:after="0" w:line="261" w:lineRule="auto"/>
        <w:rPr>
          <w:sz w:val="20"/>
          <w:szCs w:val="20"/>
          <w:color w:val="auto"/>
        </w:rPr>
      </w:pPr>
      <w:r>
        <w:rPr>
          <w:rFonts w:ascii="Arial" w:cs="Arial" w:eastAsia="Arial" w:hAnsi="Arial"/>
          <w:sz w:val="18"/>
          <w:szCs w:val="18"/>
          <w:color w:val="auto"/>
        </w:rPr>
        <w:t>As of June 30, 2023, the leased occupancy rate was 92.6%, a 0.8% increase compared to the leased occupancy rate at June 30, 2022 of 91.8% and a sequential 0.4% increase compared to 92.2% at March 31, 2023.</w:t>
      </w:r>
    </w:p>
    <w:p>
      <w:pPr>
        <w:spacing w:after="0" w:line="115" w:lineRule="exact"/>
        <w:rPr>
          <w:sz w:val="20"/>
          <w:szCs w:val="20"/>
          <w:color w:val="auto"/>
        </w:rPr>
      </w:pPr>
    </w:p>
    <w:p>
      <w:pPr>
        <w:ind w:right="80" w:firstLine="434"/>
        <w:spacing w:after="0" w:line="252" w:lineRule="auto"/>
        <w:rPr>
          <w:sz w:val="20"/>
          <w:szCs w:val="20"/>
          <w:color w:val="auto"/>
        </w:rPr>
      </w:pPr>
      <w:r>
        <w:rPr>
          <w:rFonts w:ascii="Arial" w:cs="Arial" w:eastAsia="Arial" w:hAnsi="Arial"/>
          <w:sz w:val="18"/>
          <w:szCs w:val="18"/>
          <w:color w:val="auto"/>
        </w:rPr>
        <w:t>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123" w:lineRule="exact"/>
        <w:rPr>
          <w:sz w:val="20"/>
          <w:szCs w:val="20"/>
          <w:color w:val="auto"/>
        </w:rPr>
      </w:pPr>
    </w:p>
    <w:p>
      <w:pPr>
        <w:ind w:right="140" w:firstLine="434"/>
        <w:spacing w:after="0" w:line="286" w:lineRule="auto"/>
        <w:rPr>
          <w:sz w:val="20"/>
          <w:szCs w:val="20"/>
          <w:color w:val="auto"/>
        </w:rPr>
      </w:pPr>
      <w:r>
        <w:rPr>
          <w:rFonts w:ascii="Arial" w:cs="Arial" w:eastAsia="Arial" w:hAnsi="Arial"/>
          <w:sz w:val="16"/>
          <w:szCs w:val="16"/>
          <w:color w:val="auto"/>
        </w:rPr>
        <w:t>During 2022, the pace of bankruptcy filings involving the Company’s tenants decreased substantially as compared to 2021, with only two bankruptcy filings involving three of the Company’s tenants representing approximately 111,000 square feet of leased space and $2.2 million of annual leasing revenue at the Company’s share. The Company continues to expect that the pace of bankruptcy filings in 2023 will be relatively low compared to 2020. Year-to-date in 2023, there have been six bankruptcy filings involving the Company’s tenants totaling eleven leases and representing approximately 84,000 square feet of leased space and $2.6 million of annual leasing revenue at the Company's share.</w:t>
      </w:r>
    </w:p>
    <w:p>
      <w:pPr>
        <w:spacing w:after="0" w:line="87" w:lineRule="exact"/>
        <w:rPr>
          <w:sz w:val="20"/>
          <w:szCs w:val="20"/>
          <w:color w:val="auto"/>
        </w:rPr>
      </w:pPr>
    </w:p>
    <w:p>
      <w:pPr>
        <w:ind w:right="260" w:firstLine="434"/>
        <w:spacing w:after="0" w:line="249" w:lineRule="auto"/>
        <w:rPr>
          <w:sz w:val="20"/>
          <w:szCs w:val="20"/>
          <w:color w:val="auto"/>
        </w:rPr>
      </w:pPr>
      <w:r>
        <w:rPr>
          <w:rFonts w:ascii="Arial" w:cs="Arial" w:eastAsia="Arial" w:hAnsi="Arial"/>
          <w:sz w:val="18"/>
          <w:szCs w:val="18"/>
          <w:color w:val="auto"/>
        </w:rPr>
        <w:t>During 2023,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fund the Company's development and redevelopment pipeline and to the extent available, de-lever the Company's balance sheet.</w:t>
      </w:r>
    </w:p>
    <w:p>
      <w:pPr>
        <w:spacing w:after="0" w:line="127"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color w:val="auto"/>
        </w:rPr>
        <w:t>The Company continues to make substantial progress addressing its near-term, non-recourse loan maturities, with six completed transactions since the start of the fourth quarter of 2022 totaling over $2.2 billion, or approximately $1.5 billion at the Company’s pro rata share. For additional information on the Company’s financing transactions in the year ended 2022 through the date of this Quarterly Report on Form 10-Q, see “Financing Activities” in Management’s Overview and Summary.</w:t>
      </w:r>
    </w:p>
    <w:p>
      <w:pPr>
        <w:spacing w:after="0" w:line="127"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Rising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2023 and 2022</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Revenues:</w:t>
      </w:r>
    </w:p>
    <w:p>
      <w:pPr>
        <w:spacing w:after="0" w:line="148" w:lineRule="exact"/>
        <w:rPr>
          <w:sz w:val="20"/>
          <w:szCs w:val="20"/>
          <w:color w:val="auto"/>
        </w:rPr>
      </w:pPr>
    </w:p>
    <w:p>
      <w:pPr>
        <w:ind w:firstLine="434"/>
        <w:spacing w:after="0" w:line="246" w:lineRule="auto"/>
        <w:rPr>
          <w:sz w:val="20"/>
          <w:szCs w:val="20"/>
          <w:color w:val="auto"/>
        </w:rPr>
      </w:pPr>
      <w:r>
        <w:rPr>
          <w:rFonts w:ascii="Arial" w:cs="Arial" w:eastAsia="Arial" w:hAnsi="Arial"/>
          <w:sz w:val="18"/>
          <w:szCs w:val="18"/>
          <w:color w:val="auto"/>
        </w:rPr>
        <w:t>Leasing revenue increased by $4.1 million, or 2.2%, from 2022 to 2023. The increase in leasing revenue is attributed to increases of $2.8 million from the Same Centers and $1.9 million from the JV Transition Centers offset in part by a decrease of $0.6 million from the Disposition Property. Leasing revenue includes the amortization of above and below-market leases, the amortization of straight-line rents, lease termination income, percentage rent and the recovery of bad debts. The amortization of above and below-market leases decreased from $0.6 million in 2022 to $0.5 million in 2023. The amortization of straight-line rents decreased from $(0.5) million in 2022 to $(0.8) million in 2023. Lease termination income decreased from $0.6 million in 2022 to $0.0 million in 2023. Percentage rent decreased from $6.9 million in 2022 to $4.5 million in 2023. Recovery of bad debts decreased from $1.4 million in 2022 to $0.6 million in 2023.</w:t>
      </w:r>
    </w:p>
    <w:p>
      <w:pPr>
        <w:spacing w:after="0" w:line="118" w:lineRule="exact"/>
        <w:rPr>
          <w:sz w:val="20"/>
          <w:szCs w:val="20"/>
          <w:color w:val="auto"/>
        </w:rPr>
      </w:pPr>
    </w:p>
    <w:p>
      <w:pPr>
        <w:ind w:right="40" w:firstLine="394"/>
        <w:spacing w:after="0" w:line="261" w:lineRule="auto"/>
        <w:rPr>
          <w:sz w:val="20"/>
          <w:szCs w:val="20"/>
          <w:color w:val="auto"/>
        </w:rPr>
      </w:pPr>
      <w:r>
        <w:rPr>
          <w:rFonts w:ascii="Arial" w:cs="Arial" w:eastAsia="Arial" w:hAnsi="Arial"/>
          <w:sz w:val="18"/>
          <w:szCs w:val="18"/>
          <w:color w:val="auto"/>
        </w:rPr>
        <w:t>Other revenue increased from $8.1 million in 2022 to $11.7 million in 2023. This increase is primarily due to parking, interest and other income related to the Same Centers.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Management Companies' revenue increased from $7.4 million in 2022 to $8.0 million in 2023 primarily due to an increase in leasing and development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35"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Shopping center and operating expenses increased $0.2 million, or 0.3%, from 2022 to 2023. The increase in shopping center and operating expenses is attributed to an increase of $0.5 million from the JV Transition Centers offset in part by decreases of $0.2 million from the Same Centers and $0.1 million from the Disposition Property.</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Leasing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Leasing expenses increased from $8.1 million in 2022 to $8.4 million in 2023 due to an increase in compensation expense.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48" w:lineRule="exact"/>
        <w:rPr>
          <w:sz w:val="20"/>
          <w:szCs w:val="20"/>
          <w:color w:val="auto"/>
        </w:rPr>
      </w:pPr>
    </w:p>
    <w:p>
      <w:pPr>
        <w:ind w:right="620" w:firstLine="434"/>
        <w:spacing w:after="0" w:line="261" w:lineRule="auto"/>
        <w:rPr>
          <w:sz w:val="20"/>
          <w:szCs w:val="20"/>
          <w:color w:val="auto"/>
        </w:rPr>
      </w:pPr>
      <w:r>
        <w:rPr>
          <w:rFonts w:ascii="Arial" w:cs="Arial" w:eastAsia="Arial" w:hAnsi="Arial"/>
          <w:sz w:val="18"/>
          <w:szCs w:val="18"/>
          <w:color w:val="auto"/>
        </w:rPr>
        <w:t>REIT general and administrative expenses increased $2.4 million from 2022 to 2023 primarily due to an increase in compensation and consulting expense.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Depreciation and Amortization:</w:t>
      </w:r>
    </w:p>
    <w:p>
      <w:pPr>
        <w:spacing w:after="0" w:line="135" w:lineRule="exact"/>
        <w:rPr>
          <w:sz w:val="20"/>
          <w:szCs w:val="20"/>
          <w:color w:val="auto"/>
        </w:rPr>
      </w:pPr>
    </w:p>
    <w:p>
      <w:pPr>
        <w:ind w:firstLine="434"/>
        <w:spacing w:after="0" w:line="324" w:lineRule="auto"/>
        <w:rPr>
          <w:sz w:val="20"/>
          <w:szCs w:val="20"/>
          <w:color w:val="auto"/>
        </w:rPr>
      </w:pPr>
      <w:r>
        <w:rPr>
          <w:rFonts w:ascii="Arial" w:cs="Arial" w:eastAsia="Arial" w:hAnsi="Arial"/>
          <w:sz w:val="16"/>
          <w:szCs w:val="16"/>
          <w:color w:val="auto"/>
        </w:rPr>
        <w:t>Depreciation and amortization decreased $2.1 million from 2022 to 2023. The decrease in depreciation and amortization is attributed to a decrease of $2.6 million from the Same Centers and $0.4 million from the Disposition Property offset in part by an increase of $0.9 million from the JV Transition Centers.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w:t>
      </w:r>
    </w:p>
    <w:p>
      <w:pPr>
        <w:spacing w:after="0" w:line="148" w:lineRule="exact"/>
        <w:rPr>
          <w:sz w:val="20"/>
          <w:szCs w:val="20"/>
          <w:color w:val="auto"/>
        </w:rPr>
      </w:pPr>
    </w:p>
    <w:p>
      <w:pPr>
        <w:ind w:right="240" w:firstLine="434"/>
        <w:spacing w:after="0" w:line="248" w:lineRule="auto"/>
        <w:rPr>
          <w:sz w:val="20"/>
          <w:szCs w:val="20"/>
          <w:color w:val="auto"/>
        </w:rPr>
      </w:pPr>
      <w:r>
        <w:rPr>
          <w:rFonts w:ascii="Arial" w:cs="Arial" w:eastAsia="Arial" w:hAnsi="Arial"/>
          <w:sz w:val="18"/>
          <w:szCs w:val="18"/>
          <w:color w:val="auto"/>
        </w:rPr>
        <w:t>Interest expense increased $1.5 million from 2022 to 2023. The increase in interest expense is attributed to increases of $2.5 million from the Same Centers and $1.9 million from higher outstanding balances and interest rates on the Company's revolving line of credit offset in part by $2.9 million from the financing arrangement (See Note 12—Financing Arrangement in the Company's Notes to the Consolidated Financial Statements). The decrease in interest expense from the financing arrangement is primarily due to the change in fair value of the underlying properties and the mortgage notes payable on the underlying properties.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Equity in (Loss) Income of Unconsolidated Joint Ventures:</w:t>
      </w:r>
    </w:p>
    <w:p>
      <w:pPr>
        <w:spacing w:after="0" w:line="148" w:lineRule="exact"/>
        <w:rPr>
          <w:sz w:val="20"/>
          <w:szCs w:val="20"/>
          <w:color w:val="auto"/>
        </w:rPr>
      </w:pPr>
    </w:p>
    <w:p>
      <w:pPr>
        <w:ind w:right="820" w:firstLine="434"/>
        <w:spacing w:after="0" w:line="261" w:lineRule="auto"/>
        <w:rPr>
          <w:sz w:val="20"/>
          <w:szCs w:val="20"/>
          <w:color w:val="auto"/>
        </w:rPr>
      </w:pPr>
      <w:r>
        <w:rPr>
          <w:rFonts w:ascii="Arial" w:cs="Arial" w:eastAsia="Arial" w:hAnsi="Arial"/>
          <w:sz w:val="18"/>
          <w:szCs w:val="18"/>
          <w:color w:val="auto"/>
        </w:rPr>
        <w:t>Equity in (loss) income of unconsolidated joint ventures increased $13.3 million from 2022 to 2023. The increase in equity in (loss) income of unconsolidated joint ventures is primarily due to the JV Transition Centers.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Gain (loss) on Sale or Write Down of Assets, net:</w:t>
      </w:r>
    </w:p>
    <w:p>
      <w:pPr>
        <w:spacing w:after="0" w:line="135" w:lineRule="exact"/>
        <w:rPr>
          <w:sz w:val="20"/>
          <w:szCs w:val="20"/>
          <w:color w:val="auto"/>
        </w:rPr>
      </w:pPr>
    </w:p>
    <w:p>
      <w:pPr>
        <w:ind w:right="20" w:firstLine="434"/>
        <w:spacing w:after="0" w:line="261" w:lineRule="auto"/>
        <w:rPr>
          <w:sz w:val="20"/>
          <w:szCs w:val="20"/>
          <w:color w:val="auto"/>
        </w:rPr>
      </w:pPr>
      <w:r>
        <w:rPr>
          <w:rFonts w:ascii="Arial" w:cs="Arial" w:eastAsia="Arial" w:hAnsi="Arial"/>
          <w:sz w:val="18"/>
          <w:szCs w:val="18"/>
          <w:color w:val="auto"/>
        </w:rPr>
        <w:t>The gain (loss) on sale or write down of assets, net increased $11.4 million from 2022 to 2023 primarily due to the sale of The Marketplace at Flagstaff in 2023 (See "Dispositions" in Management's Overview and Summary).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Net Loss: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loss decreased $3.3 million from 2022 to 2023. The decrease in net loss is primarily due to the variances noted above.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Funds From Operations ("FFO"):</w:t>
      </w:r>
    </w:p>
    <w:p>
      <w:pPr>
        <w:spacing w:after="0" w:line="148" w:lineRule="exact"/>
        <w:rPr>
          <w:sz w:val="20"/>
          <w:szCs w:val="20"/>
          <w:color w:val="auto"/>
        </w:rPr>
      </w:pPr>
    </w:p>
    <w:p>
      <w:pPr>
        <w:ind w:right="60" w:firstLine="434"/>
        <w:spacing w:after="0" w:line="248"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excluding financing expense in connection with Chandler Freehold decreased 13.8% from $102.9 million in 2022 to $88.7 million in 2023. For a reconciliation of net loss attributable to the Company, the most directly comparable GAAP financial measure, to FFO attributable to common stockholders and unit holders—diluted, and FFO attributable to common stockholders and unit holders, excluding financing expense in connection with Chandler Freehold—diluted, see "Funds From Operations ("FFO")"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2023 and 2022</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Revenues:</w:t>
      </w:r>
    </w:p>
    <w:p>
      <w:pPr>
        <w:spacing w:after="0" w:line="148" w:lineRule="exact"/>
        <w:rPr>
          <w:sz w:val="20"/>
          <w:szCs w:val="20"/>
          <w:color w:val="auto"/>
        </w:rPr>
      </w:pPr>
    </w:p>
    <w:p>
      <w:pPr>
        <w:ind w:right="120" w:firstLine="434"/>
        <w:spacing w:after="0" w:line="284" w:lineRule="auto"/>
        <w:rPr>
          <w:sz w:val="20"/>
          <w:szCs w:val="20"/>
          <w:color w:val="auto"/>
        </w:rPr>
      </w:pPr>
      <w:r>
        <w:rPr>
          <w:rFonts w:ascii="Arial" w:cs="Arial" w:eastAsia="Arial" w:hAnsi="Arial"/>
          <w:sz w:val="16"/>
          <w:szCs w:val="16"/>
          <w:color w:val="auto"/>
        </w:rPr>
        <w:t>Leasing revenue decreased by $0.3 million, or 0.1%, from 2022 to 2023. The decrease in leasing revenue is attributed to decreases of $2.9 million from the Same Centers and $0.6 million from the Disposition Property offset in part by an increase of $3.2 million from the JV Transition Centers. Leasing revenue includes the amortization of above and below-market leases, the amortization of straight-line rents, lease termination income, percentage rent and the recovery of bad debts. The amortization of above and below-market leases increased from $1.2 million in 2022 to $1.6 million in 2023. Straight-line rents decreased from $(2.5) million in 2022 to $(2.6) million in 2023. Lease termination income decreased from $12.4 million in 2022 to $1.7 million in 2023. Percentage rent decreased from $15.5 million in 2022 to $10.0 million in 2023. Recovery of bad debts increased from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$0.9 million in 2022 to $1.6 million in 2023. The decrease in lease revenue at the Same Centers is primarily due to the decrease in lease termination and percentage rent income offset by increases in tenant recoveries income and recovery of bad debts.</w:t>
      </w:r>
    </w:p>
    <w:p>
      <w:pPr>
        <w:spacing w:after="0" w:line="102" w:lineRule="exact"/>
        <w:rPr>
          <w:sz w:val="20"/>
          <w:szCs w:val="20"/>
          <w:color w:val="auto"/>
        </w:rPr>
      </w:pPr>
    </w:p>
    <w:p>
      <w:pPr>
        <w:jc w:val="both"/>
        <w:ind w:right="80" w:firstLine="394"/>
        <w:spacing w:after="0" w:line="261" w:lineRule="auto"/>
        <w:rPr>
          <w:sz w:val="20"/>
          <w:szCs w:val="20"/>
          <w:color w:val="auto"/>
        </w:rPr>
      </w:pPr>
      <w:r>
        <w:rPr>
          <w:rFonts w:ascii="Arial" w:cs="Arial" w:eastAsia="Arial" w:hAnsi="Arial"/>
          <w:sz w:val="18"/>
          <w:szCs w:val="18"/>
          <w:color w:val="auto"/>
        </w:rPr>
        <w:t>Other revenue increased from $14.4 million in 2022 to $20.7 million in 2023. This increase is primarily due to parking, interest and other income related to the Same Centers.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Management Companies' revenue increased from $13.8 million in 2022 to $14.8 million in 2023 due to an increase in leasing and development fees.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35" w:lineRule="exact"/>
        <w:rPr>
          <w:sz w:val="20"/>
          <w:szCs w:val="20"/>
          <w:color w:val="auto"/>
        </w:rPr>
      </w:pPr>
    </w:p>
    <w:p>
      <w:pPr>
        <w:jc w:val="both"/>
        <w:ind w:right="60" w:firstLine="434"/>
        <w:spacing w:after="0" w:line="252" w:lineRule="auto"/>
        <w:rPr>
          <w:sz w:val="20"/>
          <w:szCs w:val="20"/>
          <w:color w:val="auto"/>
        </w:rPr>
      </w:pPr>
      <w:r>
        <w:rPr>
          <w:rFonts w:ascii="Arial" w:cs="Arial" w:eastAsia="Arial" w:hAnsi="Arial"/>
          <w:sz w:val="18"/>
          <w:szCs w:val="18"/>
          <w:color w:val="auto"/>
        </w:rPr>
        <w:t>Shopping center and operating expenses decreased $2.2 million, or 1.6%, from 2022 to 2023. The decrease in shopping center and operating expenses is attributed to decreases of $3.0 million from the Same Centers, which is primarily from a decrease in property taxes and is offset in part by an increase of $0.9 million from the JV Transition Centers.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Leasing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Leasing expenses increased from $15.8 million in 2022 to $18.1 million in 2023 due to an increase in compensation expense.</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operating expenses increased $1.6 million from 2022 to 2023 due to an increase in compensation expense.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general and administrative expenses increased $2.5 million from 2022 to 2023 due to an increase in compensation and consulting expense.</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Depreciation and Amortization:</w:t>
      </w:r>
    </w:p>
    <w:p>
      <w:pPr>
        <w:spacing w:after="0" w:line="148" w:lineRule="exact"/>
        <w:rPr>
          <w:sz w:val="20"/>
          <w:szCs w:val="20"/>
          <w:color w:val="auto"/>
        </w:rPr>
      </w:pPr>
    </w:p>
    <w:p>
      <w:pPr>
        <w:ind w:firstLine="434"/>
        <w:spacing w:after="0" w:line="324" w:lineRule="auto"/>
        <w:rPr>
          <w:sz w:val="20"/>
          <w:szCs w:val="20"/>
          <w:color w:val="auto"/>
        </w:rPr>
      </w:pPr>
      <w:r>
        <w:rPr>
          <w:rFonts w:ascii="Arial" w:cs="Arial" w:eastAsia="Arial" w:hAnsi="Arial"/>
          <w:sz w:val="16"/>
          <w:szCs w:val="16"/>
          <w:color w:val="auto"/>
        </w:rPr>
        <w:t>Depreciation and amortization decreased $3.5 million from 2022 to 2023. The decrease in depreciation and amortization is attributed to decreases of $4.3 million from the Same Centers and $0.7 million from the Disposition Property offset in part by an increase of $1.5 million from the JV Transition Centers.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Expense:</w:t>
      </w:r>
    </w:p>
    <w:p>
      <w:pPr>
        <w:spacing w:after="0" w:line="148" w:lineRule="exact"/>
        <w:rPr>
          <w:sz w:val="20"/>
          <w:szCs w:val="20"/>
          <w:color w:val="auto"/>
        </w:rPr>
      </w:pPr>
    </w:p>
    <w:p>
      <w:pPr>
        <w:ind w:right="160" w:firstLine="434"/>
        <w:spacing w:after="0" w:line="248" w:lineRule="auto"/>
        <w:rPr>
          <w:sz w:val="20"/>
          <w:szCs w:val="20"/>
          <w:color w:val="auto"/>
        </w:rPr>
      </w:pPr>
      <w:r>
        <w:rPr>
          <w:rFonts w:ascii="Arial" w:cs="Arial" w:eastAsia="Arial" w:hAnsi="Arial"/>
          <w:sz w:val="18"/>
          <w:szCs w:val="18"/>
          <w:color w:val="auto"/>
        </w:rPr>
        <w:t>Interest expense decreased $10.9 million from 2022 to 2023. The decrease in interest expense is attributed to a decrease of $20.3 million from the financing arrangement discussed in Note 12 in the Company's Notes to the Consolidated Financial Statements offset in part by increases of $5.7 million from the Same Centers and $3.7 million from higher interest rates and outstanding balances on the Company's revolving line of credit. The decrease in interest expense from the financing arrangement is primarily due to the change in fair value of the underlying properties and the mortgage notes payable on the underlying properties.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in Loss of Unconsolidated Joint Ventures:</w:t>
      </w:r>
    </w:p>
    <w:p>
      <w:pPr>
        <w:spacing w:after="0" w:line="135"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Equity in loss of unconsolidated joint ventures increased $46.0 million from 2022 to 2023. The increase in equity in loss of unconsolidated joint ventures is primarily due to the JV Transition Centers.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Gain on Sale or Write Down of Assets, net:</w:t>
      </w:r>
    </w:p>
    <w:p>
      <w:pPr>
        <w:spacing w:after="0" w:line="135" w:lineRule="exact"/>
        <w:rPr>
          <w:sz w:val="20"/>
          <w:szCs w:val="20"/>
          <w:color w:val="auto"/>
        </w:rPr>
      </w:pPr>
    </w:p>
    <w:p>
      <w:pPr>
        <w:ind w:right="460" w:firstLine="434"/>
        <w:spacing w:after="0" w:line="261" w:lineRule="auto"/>
        <w:rPr>
          <w:sz w:val="20"/>
          <w:szCs w:val="20"/>
          <w:color w:val="auto"/>
        </w:rPr>
      </w:pPr>
      <w:r>
        <w:rPr>
          <w:rFonts w:ascii="Arial" w:cs="Arial" w:eastAsia="Arial" w:hAnsi="Arial"/>
          <w:sz w:val="18"/>
          <w:szCs w:val="18"/>
          <w:color w:val="auto"/>
        </w:rPr>
        <w:t>Gain on sale or write down of assets, net increased $8.7 million from 2022 to 2023. The increase is primarily due to the sale of The Marketplace at Flagstaff.</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Net Loss: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loss increased $17.6 million from 2022 to 2023. The increase in net loss is primarily due to the variances noted above.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Funds From Operations ("FFO"):</w:t>
      </w:r>
    </w:p>
    <w:p>
      <w:pPr>
        <w:spacing w:after="0" w:line="148"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excluding financing expense in connection with Chandler Freehold decreased 17.6% from $215.2 million in 2022 to $177.4 million in 2023. For a reconciliation of net loss attributable to the Company, the most directly comparable GAAP financial measure, to FFO attributable to common stockholders and unit holders—diluted, and FFO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and unit holders, excluding financing expense in connection with Chandler Freehold—diluted, see "Funds From Operations ("FFO")" below.</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 Activities:</w:t>
      </w:r>
    </w:p>
    <w:p>
      <w:pPr>
        <w:spacing w:after="0" w:line="148" w:lineRule="exact"/>
        <w:rPr>
          <w:sz w:val="20"/>
          <w:szCs w:val="20"/>
          <w:color w:val="auto"/>
        </w:rPr>
      </w:pPr>
    </w:p>
    <w:p>
      <w:pPr>
        <w:ind w:right="20" w:firstLine="434"/>
        <w:spacing w:after="0" w:line="261" w:lineRule="auto"/>
        <w:rPr>
          <w:sz w:val="20"/>
          <w:szCs w:val="20"/>
          <w:color w:val="auto"/>
        </w:rPr>
      </w:pPr>
      <w:r>
        <w:rPr>
          <w:rFonts w:ascii="Arial" w:cs="Arial" w:eastAsia="Arial" w:hAnsi="Arial"/>
          <w:sz w:val="18"/>
          <w:szCs w:val="18"/>
          <w:color w:val="auto"/>
        </w:rPr>
        <w:t>Cash provided by operating activities increased $23.3 million from 2022 to 2023. The increase is primarily due to the changes in assets and liabilities and the results, as discussed above.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firstLine="434"/>
        <w:spacing w:after="0" w:line="247" w:lineRule="auto"/>
        <w:rPr>
          <w:sz w:val="20"/>
          <w:szCs w:val="20"/>
          <w:color w:val="auto"/>
        </w:rPr>
      </w:pPr>
      <w:r>
        <w:rPr>
          <w:rFonts w:ascii="Arial" w:cs="Arial" w:eastAsia="Arial" w:hAnsi="Arial"/>
          <w:sz w:val="18"/>
          <w:szCs w:val="18"/>
          <w:color w:val="auto"/>
        </w:rPr>
        <w:t>Cash provided by investing activities increased $7.8 million from 2022 to 2023. The increase in cash provided by investing activities is primarily attributed to an increase in distributions from unconsolidated joint ventures of $115.2 million offset in part by increases in acquisitions of property of $46.7 million, development, redevelopment and renovation of $11.5 million, property improvements of $17.7 million and decreases in proceeds from the sale of assets of $2.8 million and proceeds from collection of receivable in connection with sale of joint venture property of $21.0 million. The increase in distributions from unconsolidated joint ventures is primarily due to the distribution of net loan proceeds from the Scottsdale Fashion Square refinance (See “—Financing Activities” in Management’s Overview and Summary).</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Financing Activities:</w:t>
      </w:r>
    </w:p>
    <w:p>
      <w:pPr>
        <w:spacing w:after="0" w:line="148" w:lineRule="exact"/>
        <w:rPr>
          <w:sz w:val="20"/>
          <w:szCs w:val="20"/>
          <w:color w:val="auto"/>
        </w:rPr>
      </w:pPr>
    </w:p>
    <w:p>
      <w:pPr>
        <w:ind w:right="40" w:firstLine="434"/>
        <w:spacing w:after="0" w:line="252" w:lineRule="auto"/>
        <w:rPr>
          <w:sz w:val="20"/>
          <w:szCs w:val="20"/>
          <w:color w:val="auto"/>
        </w:rPr>
      </w:pPr>
      <w:r>
        <w:rPr>
          <w:rFonts w:ascii="Arial" w:cs="Arial" w:eastAsia="Arial" w:hAnsi="Arial"/>
          <w:sz w:val="18"/>
          <w:szCs w:val="18"/>
          <w:color w:val="auto"/>
        </w:rPr>
        <w:t>Cash used in financing activities increased $18.9 million from 2022 to 2023. The increase in cash used in financing activities is primarily due to the increase in payments on mortgages, bank and other notes payable of $105.3 million and increase in deferred financing costs of $14.6 million offset by proceeds received from proceeds from mortgages, bank and other notes payable of $105.0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4" w:lineRule="exact"/>
        <w:rPr>
          <w:sz w:val="20"/>
          <w:szCs w:val="20"/>
          <w:color w:val="auto"/>
        </w:rPr>
      </w:pPr>
    </w:p>
    <w:p>
      <w:pPr>
        <w:jc w:val="both"/>
        <w:ind w:right="140" w:firstLine="434"/>
        <w:spacing w:after="0" w:line="252" w:lineRule="auto"/>
        <w:rPr>
          <w:sz w:val="20"/>
          <w:szCs w:val="20"/>
          <w:color w:val="auto"/>
        </w:rPr>
      </w:pPr>
      <w:r>
        <w:rPr>
          <w:rFonts w:ascii="Arial" w:cs="Arial" w:eastAsia="Arial" w:hAnsi="Arial"/>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Uses of Capital</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capital expenditures incurred at the Centers (at the Company's pro rata share):</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183"/>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1"/>
              </w:rPr>
              <w:t>For the Six Months Ended June 30,</w:t>
            </w:r>
          </w:p>
        </w:tc>
        <w:tc>
          <w:tcPr>
            <w:tcW w:w="0" w:type="dxa"/>
            <w:vAlign w:val="bottom"/>
          </w:tcPr>
          <w:p>
            <w:pPr>
              <w:spacing w:after="0"/>
              <w:rPr>
                <w:sz w:val="1"/>
                <w:szCs w:val="1"/>
                <w:color w:val="auto"/>
              </w:rPr>
            </w:pPr>
          </w:p>
        </w:tc>
      </w:tr>
      <w:tr>
        <w:trPr>
          <w:trHeight w:val="24"/>
        </w:trPr>
        <w:tc>
          <w:tcPr>
            <w:tcW w:w="6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Centers: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58,717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23,519</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7"/>
        </w:trPr>
        <w:tc>
          <w:tcPr>
            <w:tcW w:w="6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116,932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40,909</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Unconsolidated Joint Venture Centers: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4,474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7"/>
        </w:trPr>
        <w:tc>
          <w:tcPr>
            <w:tcW w:w="6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48,276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800" w:right="380" w:hanging="401"/>
        <w:spacing w:after="0" w:line="261" w:lineRule="auto"/>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$46.7 million for the six months ended June 30, 2023, relating to the acquisition of five former Sears parcels in the MS Portfolio LLC joint venture (See "Acquisitions" in Management's Overview and Summary).</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expects amounts to be incurred during the next twelve months for tenant allowances and deferred leasing charges to be comparable to</w:t>
      </w:r>
    </w:p>
    <w:p>
      <w:pPr>
        <w:spacing w:after="0" w:line="3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2022. The Company expects to incur approximately $150.0 million to $175.0 million during 2023 for development, redevelopment, expansion and renovations.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Sources of Capital</w:t>
      </w:r>
    </w:p>
    <w:p>
      <w:pPr>
        <w:spacing w:after="0" w:line="135" w:lineRule="exact"/>
        <w:rPr>
          <w:sz w:val="20"/>
          <w:szCs w:val="20"/>
          <w:color w:val="auto"/>
        </w:rPr>
      </w:pPr>
    </w:p>
    <w:p>
      <w:pPr>
        <w:ind w:right="40" w:firstLine="434"/>
        <w:spacing w:after="0" w:line="281" w:lineRule="auto"/>
        <w:rPr>
          <w:sz w:val="20"/>
          <w:szCs w:val="20"/>
          <w:color w:val="auto"/>
        </w:rPr>
      </w:pPr>
      <w:r>
        <w:rPr>
          <w:rFonts w:ascii="Arial" w:cs="Arial" w:eastAsia="Arial" w:hAnsi="Arial"/>
          <w:sz w:val="16"/>
          <w:szCs w:val="16"/>
          <w:color w:val="auto"/>
        </w:rPr>
        <w:t>The Company has also generated liquidity in the past, and may continue to do so in the future, through equity offerings and issuances, property refinancings, joint venture transactions and the sale of non-core assets. For example, the Company sold The Marketplace at Flagstaff in Flagstaff, Arizona on May 2, 2023 and Superstition Springs Power Center in Mesa, Arizona on July 17, 2023. The Company used the proceeds from these sales to pay down its line of credit and other debt obligations. During the year ended December 31, 2022 and six months ended June 30, 2023, the Company and certain joint venture partners sold various land parcels in separate transactions for aggregate proceeds of $63.3 million at the Company's share, which the Company used to pay down debt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04"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On each of February 1, 2021 and March 26, 2021, the Company registered a separate "at the market" offering program, pursuant to which the Company may issue and sell shares of its common stock having an aggregate offering price of up to $500 million under each ATM Program, or a total of $1.0 billion under the ATM Programs, in amounts and at times to be determined by the Company. The February 2021 ATM Program was fully utilized as of June 30, 2021 and is no longer active. During the three and six months ended June 30, 2023, no shares were issued under the March 2021 ATM Program. As of June 30, 2023, the Company had approximately $151.7 million of gross sales of its common stock available under the March 2021 ATM Program.</w:t>
      </w:r>
    </w:p>
    <w:p>
      <w:pPr>
        <w:spacing w:after="0" w:line="100" w:lineRule="exact"/>
        <w:rPr>
          <w:sz w:val="20"/>
          <w:szCs w:val="20"/>
          <w:color w:val="auto"/>
        </w:rPr>
      </w:pPr>
    </w:p>
    <w:p>
      <w:pPr>
        <w:ind w:right="100" w:firstLine="434"/>
        <w:spacing w:after="0" w:line="281" w:lineRule="auto"/>
        <w:rPr>
          <w:sz w:val="20"/>
          <w:szCs w:val="20"/>
          <w:color w:val="auto"/>
        </w:rPr>
      </w:pPr>
      <w:r>
        <w:rPr>
          <w:rFonts w:ascii="Arial" w:cs="Arial" w:eastAsia="Arial" w:hAnsi="Arial"/>
          <w:sz w:val="16"/>
          <w:szCs w:val="16"/>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 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The duration of any such impact is unknown.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90" w:lineRule="exact"/>
        <w:rPr>
          <w:sz w:val="20"/>
          <w:szCs w:val="20"/>
          <w:color w:val="auto"/>
        </w:rPr>
      </w:pPr>
    </w:p>
    <w:p>
      <w:pPr>
        <w:ind w:right="60" w:firstLine="434"/>
        <w:spacing w:after="0" w:line="286" w:lineRule="auto"/>
        <w:rPr>
          <w:sz w:val="20"/>
          <w:szCs w:val="20"/>
          <w:color w:val="auto"/>
        </w:rPr>
      </w:pPr>
      <w:r>
        <w:rPr>
          <w:rFonts w:ascii="Arial" w:cs="Arial" w:eastAsia="Arial" w:hAnsi="Arial"/>
          <w:sz w:val="16"/>
          <w:szCs w:val="16"/>
          <w:color w:val="auto"/>
        </w:rPr>
        <w:t>The Company's total outstanding loan indebtedness, which includes mortgages and other notes payable, at June 30, 2023 was $6.85 billion (consisting of $4.30 billion of consolidated debt, less $0.40 billion of noncontrolling interests, plus $2.94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 with the exception of Towne Mall (See “—Financing Activities” in Management’s Overview and Summary).</w:t>
      </w:r>
    </w:p>
    <w:p>
      <w:pPr>
        <w:spacing w:after="0" w:line="100" w:lineRule="exact"/>
        <w:rPr>
          <w:sz w:val="20"/>
          <w:szCs w:val="20"/>
          <w:color w:val="auto"/>
        </w:rPr>
      </w:pPr>
    </w:p>
    <w:p>
      <w:pPr>
        <w:ind w:right="80" w:firstLine="434"/>
        <w:spacing w:after="0" w:line="246"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32" w:lineRule="exact"/>
        <w:rPr>
          <w:sz w:val="20"/>
          <w:szCs w:val="20"/>
          <w:color w:val="auto"/>
        </w:rPr>
      </w:pPr>
    </w:p>
    <w:p>
      <w:pPr>
        <w:jc w:val="both"/>
        <w:ind w:right="180" w:firstLine="434"/>
        <w:spacing w:after="0" w:line="361" w:lineRule="auto"/>
        <w:rPr>
          <w:sz w:val="20"/>
          <w:szCs w:val="20"/>
          <w:color w:val="auto"/>
        </w:rPr>
      </w:pPr>
      <w:r>
        <w:rPr>
          <w:rFonts w:ascii="Arial" w:cs="Arial" w:eastAsia="Arial" w:hAnsi="Arial"/>
          <w:sz w:val="15"/>
          <w:szCs w:val="15"/>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33"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Additionally, as of June 30, 2023, the Company was contingently liable for $40.9 million in letters of credit guaranteeing performance by the Company of certain obligations relating to the Centers. As of June 30, 2023, $40.7 million of these letters of credit were secured by restricted cash. The Company does not believe that these letters of credit will result in a liability to the Company.</w:t>
      </w:r>
    </w:p>
    <w:p>
      <w:pPr>
        <w:spacing w:after="0" w:line="123"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The Company continues to make substantial progress addressing its near-term, non-recourse loan maturities, with six completed transactions since the start of the fourth quarter of 2022 totaling over $2.2 billion, or approximately $1.5 billion at the Company’s pro rata share. For additional information on the Company’s financing transactions in the year ended 2022 through the date of this Quarterly Report on Form 10-Q, see “Financing Activities” in Management’s Overview and Summary.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The Company has a $525 million revolving loan facility that matures on April 14, 2024. The revolving loan facility can be expanded up to $800 million,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credit facility previously bore interest at LIBOR plus a spread of 2.25% to 3.25% depending on the Company’s overall leverage level. On March 22, 2023, the Company executed the one-year extension option to April 14, 2024. Additionally, effective March 13, 2023, the credit facility converted from LIBOR to 1-month Term SOFR with an applicable benchmark replacement increase adjustment of 0.11448%. As of June 30, 2023, the borrowing rate was SOFR plus a spread of 2.36%. As of June 30, 2023, borrowings under the credit facility were $130.0 million less unamortized deferred finance costs of $5.7 million for the revolving loan facility at a total interest rate of 9.07%. As of June 30, 2023, the Company’s availability under the revolving loan facility for additional borrowings was $394.8 million.</w:t>
      </w:r>
    </w:p>
    <w:p>
      <w:pPr>
        <w:spacing w:after="0" w:line="92" w:lineRule="exact"/>
        <w:rPr>
          <w:sz w:val="20"/>
          <w:szCs w:val="20"/>
          <w:color w:val="auto"/>
        </w:rPr>
      </w:pPr>
    </w:p>
    <w:p>
      <w:pPr>
        <w:ind w:right="40" w:firstLine="434"/>
        <w:spacing w:after="0" w:line="261" w:lineRule="auto"/>
        <w:rPr>
          <w:sz w:val="20"/>
          <w:szCs w:val="20"/>
          <w:color w:val="auto"/>
        </w:rPr>
      </w:pPr>
      <w:r>
        <w:rPr>
          <w:rFonts w:ascii="Arial" w:cs="Arial" w:eastAsia="Arial" w:hAnsi="Arial"/>
          <w:sz w:val="18"/>
          <w:szCs w:val="18"/>
          <w:color w:val="auto"/>
        </w:rPr>
        <w:t>Cash dividends and distributions for the six months ended June 30, 2023 were $81.1 million (including distributions from consolidated joint ventures of $4.0 million), which were funded by operations.</w:t>
      </w:r>
    </w:p>
    <w:p>
      <w:pPr>
        <w:spacing w:after="0" w:line="115" w:lineRule="exact"/>
        <w:rPr>
          <w:sz w:val="20"/>
          <w:szCs w:val="20"/>
          <w:color w:val="auto"/>
        </w:rPr>
      </w:pPr>
    </w:p>
    <w:p>
      <w:pPr>
        <w:ind w:left="400" w:right="3140" w:firstLine="39"/>
        <w:spacing w:after="0" w:line="406" w:lineRule="auto"/>
        <w:rPr>
          <w:sz w:val="20"/>
          <w:szCs w:val="20"/>
          <w:color w:val="auto"/>
        </w:rPr>
      </w:pPr>
      <w:r>
        <w:rPr>
          <w:rFonts w:ascii="Arial" w:cs="Arial" w:eastAsia="Arial" w:hAnsi="Arial"/>
          <w:sz w:val="18"/>
          <w:szCs w:val="18"/>
          <w:color w:val="auto"/>
        </w:rPr>
        <w:t xml:space="preserve">At June 30, 2023, the Company was in compliance with all applicable loan covenants under its agreements. At June 30, 2023, the Company had cash and cash equivalents of $92.5 million. </w:t>
      </w:r>
      <w:r>
        <w:rPr>
          <w:rFonts w:ascii="Arial" w:cs="Arial" w:eastAsia="Arial" w:hAnsi="Arial"/>
          <w:sz w:val="18"/>
          <w:szCs w:val="18"/>
          <w:i w:val="1"/>
          <w:iCs w:val="1"/>
          <w:color w:val="auto"/>
        </w:rPr>
        <w:t>Material Cash Commitments:</w:t>
      </w:r>
    </w:p>
    <w:p>
      <w:pPr>
        <w:spacing w:after="0" w:line="1" w:lineRule="exact"/>
        <w:rPr>
          <w:sz w:val="20"/>
          <w:szCs w:val="20"/>
          <w:color w:val="auto"/>
        </w:rPr>
      </w:pPr>
    </w:p>
    <w:p>
      <w:pPr>
        <w:ind w:right="40" w:firstLine="434"/>
        <w:spacing w:after="0" w:line="261" w:lineRule="auto"/>
        <w:rPr>
          <w:sz w:val="20"/>
          <w:szCs w:val="20"/>
          <w:color w:val="auto"/>
        </w:rPr>
      </w:pPr>
      <w:r>
        <w:rPr>
          <w:rFonts w:ascii="Arial" w:cs="Arial" w:eastAsia="Arial" w:hAnsi="Arial"/>
          <w:sz w:val="18"/>
          <w:szCs w:val="18"/>
          <w:color w:val="auto"/>
        </w:rPr>
        <w:t>The following is a schedule of material cash commitments as of June 30, 2023 for the Consolidated Centers over the periods in which they are expected to be paid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Payment Due by Period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Commitments</w:t>
            </w:r>
          </w:p>
        </w:tc>
        <w:tc>
          <w:tcPr>
            <w:tcW w:w="300" w:type="dxa"/>
            <w:vAlign w:val="bottom"/>
          </w:tcPr>
          <w:p>
            <w:pPr>
              <w:spacing w:after="0"/>
              <w:rPr>
                <w:sz w:val="10"/>
                <w:szCs w:val="10"/>
                <w:color w:val="auto"/>
              </w:rPr>
            </w:pPr>
          </w:p>
        </w:tc>
        <w:tc>
          <w:tcPr>
            <w:tcW w:w="10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299"/>
              <w:spacing w:after="0" w:line="125"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jc w:val="center"/>
              <w:ind w:right="239"/>
              <w:spacing w:after="0" w:line="125" w:lineRule="exact"/>
              <w:rPr>
                <w:sz w:val="20"/>
                <w:szCs w:val="20"/>
                <w:color w:val="auto"/>
              </w:rPr>
            </w:pPr>
            <w:r>
              <w:rPr>
                <w:rFonts w:ascii="Arial" w:cs="Arial" w:eastAsia="Arial" w:hAnsi="Arial"/>
                <w:sz w:val="14"/>
                <w:szCs w:val="14"/>
                <w:b w:val="1"/>
                <w:bCs w:val="1"/>
                <w:color w:val="auto"/>
                <w:w w:val="92"/>
              </w:rPr>
              <w:t>1 - 3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right"/>
              <w:ind w:right="439"/>
              <w:spacing w:after="0" w:line="125" w:lineRule="exact"/>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279"/>
              <w:spacing w:after="0" w:line="12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70"/>
        </w:trPr>
        <w:tc>
          <w:tcPr>
            <w:tcW w:w="35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6"/>
              </w:rPr>
              <w:t>Long-term debt obligations (includes expected</w:t>
            </w: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5,054,844</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695,746</w:t>
            </w: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1,855,764</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866,035</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1,637,299</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payments)(1)</w:t>
            </w: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obligations(2)</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83,083</w:t>
            </w:r>
          </w:p>
        </w:tc>
        <w:tc>
          <w:tcPr>
            <w:tcW w:w="0" w:type="dxa"/>
            <w:vAlign w:val="bottom"/>
          </w:tcPr>
          <w:p>
            <w:pPr>
              <w:spacing w:after="0"/>
              <w:rPr>
                <w:sz w:val="1"/>
                <w:szCs w:val="1"/>
                <w:color w:val="auto"/>
              </w:rPr>
            </w:pPr>
          </w:p>
        </w:tc>
      </w:tr>
      <w:tr>
        <w:trPr>
          <w:trHeight w:val="237"/>
        </w:trPr>
        <w:tc>
          <w:tcPr>
            <w:tcW w:w="35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5,203,772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704,195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1,889,607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889,588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1,720,382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18"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June 30, 2023.</w:t>
      </w:r>
    </w:p>
    <w:p>
      <w:pPr>
        <w:spacing w:after="0" w:line="14" w:lineRule="exact"/>
        <w:rPr>
          <w:rFonts w:ascii="Arial" w:cs="Arial" w:eastAsia="Arial" w:hAnsi="Arial"/>
          <w:sz w:val="16"/>
          <w:szCs w:val="16"/>
          <w:color w:val="auto"/>
        </w:rPr>
      </w:pPr>
    </w:p>
    <w:p>
      <w:pPr>
        <w:ind w:left="320" w:hanging="315"/>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 Note 8—Leases in the Company's Notes to the Consolidated Financial Statements.</w:t>
      </w:r>
    </w:p>
    <w:p>
      <w:pPr>
        <w:sectPr>
          <w:pgSz w:w="11900" w:h="16838" w:orient="portrait"/>
          <w:cols w:equalWidth="0" w:num="1">
            <w:col w:w="11120"/>
          </w:cols>
          <w:pgMar w:left="320" w:top="12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141" w:lineRule="exact"/>
        <w:rPr>
          <w:sz w:val="20"/>
          <w:szCs w:val="20"/>
          <w:color w:val="auto"/>
        </w:rPr>
      </w:pPr>
    </w:p>
    <w:p>
      <w:pPr>
        <w:ind w:firstLine="434"/>
        <w:spacing w:after="0" w:line="247" w:lineRule="auto"/>
        <w:rPr>
          <w:sz w:val="20"/>
          <w:szCs w:val="20"/>
          <w:color w:val="auto"/>
        </w:rPr>
      </w:pPr>
      <w:r>
        <w:rPr>
          <w:rFonts w:ascii="Arial" w:cs="Arial" w:eastAsia="Arial" w:hAnsi="Arial"/>
          <w:sz w:val="18"/>
          <w:szCs w:val="18"/>
          <w:color w:val="auto"/>
        </w:rPr>
        <w:t xml:space="preserve">The Company uses FFO in addition to net income to report its operating and financial results and considers FFO and FFO </w:t>
      </w:r>
      <w:r>
        <w:rPr>
          <w:rFonts w:ascii="Arial" w:cs="Arial" w:eastAsia="Arial" w:hAnsi="Arial"/>
          <w:sz w:val="15"/>
          <w:szCs w:val="15"/>
          <w:color w:val="auto"/>
        </w:rPr>
        <w:t>—</w:t>
      </w:r>
      <w:r>
        <w:rPr>
          <w:rFonts w:ascii="Arial" w:cs="Arial" w:eastAsia="Arial" w:hAnsi="Arial"/>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8"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also presents FFO excluding financing expense in connection with Chandler Freehold.</w:t>
      </w:r>
    </w:p>
    <w:p>
      <w:pPr>
        <w:spacing w:after="0" w:line="135" w:lineRule="exact"/>
        <w:rPr>
          <w:sz w:val="20"/>
          <w:szCs w:val="20"/>
          <w:color w:val="auto"/>
        </w:rPr>
      </w:pPr>
    </w:p>
    <w:p>
      <w:pPr>
        <w:ind w:right="40" w:firstLine="434"/>
        <w:spacing w:after="0" w:line="282" w:lineRule="auto"/>
        <w:rPr>
          <w:sz w:val="20"/>
          <w:szCs w:val="20"/>
          <w:color w:val="auto"/>
        </w:rPr>
      </w:pPr>
      <w:r>
        <w:rPr>
          <w:rFonts w:ascii="Arial" w:cs="Arial" w:eastAsia="Arial" w:hAnsi="Arial"/>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provides useful supplemental information regarding the Company’s performance as it shows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03"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123"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(loss) income to FFO and FFO</w:t>
      </w:r>
      <w:r>
        <w:rPr>
          <w:rFonts w:ascii="Arial" w:cs="Arial" w:eastAsia="Arial" w:hAnsi="Arial"/>
          <w:sz w:val="15"/>
          <w:szCs w:val="15"/>
          <w:color w:val="auto"/>
        </w:rPr>
        <w:t>—</w:t>
      </w:r>
      <w:r>
        <w:rPr>
          <w:rFonts w:ascii="Arial" w:cs="Arial" w:eastAsia="Arial" w:hAnsi="Arial"/>
          <w:sz w:val="18"/>
          <w:szCs w:val="18"/>
          <w:color w:val="auto"/>
        </w:rPr>
        <w:t>diluted. Management believes that to further understand the Company's performance, FFO should be compared with the Company's reported net (loss) income and considered in addition to cash flows in accordance with GAAP, as presented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firstLine="434"/>
        <w:spacing w:after="0" w:line="252" w:lineRule="auto"/>
        <w:rPr>
          <w:sz w:val="20"/>
          <w:szCs w:val="20"/>
          <w:color w:val="auto"/>
        </w:rPr>
      </w:pPr>
      <w:r>
        <w:rPr>
          <w:rFonts w:ascii="Arial" w:cs="Arial" w:eastAsia="Arial" w:hAnsi="Arial"/>
          <w:sz w:val="18"/>
          <w:szCs w:val="18"/>
          <w:color w:val="auto"/>
        </w:rPr>
        <w:t>The following reconciles net loss attributable to the Company to FFO and FFO</w:t>
      </w:r>
      <w:r>
        <w:rPr>
          <w:rFonts w:ascii="Arial" w:cs="Arial" w:eastAsia="Arial" w:hAnsi="Arial"/>
          <w:sz w:val="15"/>
          <w:szCs w:val="15"/>
          <w:color w:val="auto"/>
        </w:rPr>
        <w:t>—</w:t>
      </w:r>
      <w:r>
        <w:rPr>
          <w:rFonts w:ascii="Arial" w:cs="Arial" w:eastAsia="Arial" w:hAnsi="Arial"/>
          <w:sz w:val="18"/>
          <w:szCs w:val="18"/>
          <w:color w:val="auto"/>
        </w:rPr>
        <w:t>diluted attributable to common stockholders and unit holders-basic and diluted, excluding financing expense in connection with Chandler Freehold for the three and six months ended June 30, 2023 and 2022 (dollars and shares in thousands):</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83"/>
        </w:trPr>
        <w:tc>
          <w:tcPr>
            <w:tcW w:w="6340" w:type="dxa"/>
            <w:vAlign w:val="bottom"/>
          </w:tcPr>
          <w:p>
            <w:pPr>
              <w:spacing w:after="0"/>
              <w:rPr>
                <w:sz w:val="15"/>
                <w:szCs w:val="15"/>
                <w:color w:val="auto"/>
              </w:rPr>
            </w:pPr>
          </w:p>
        </w:tc>
        <w:tc>
          <w:tcPr>
            <w:tcW w:w="2420" w:type="dxa"/>
            <w:vAlign w:val="bottom"/>
            <w:gridSpan w:val="5"/>
          </w:tcPr>
          <w:p>
            <w:pPr>
              <w:jc w:val="right"/>
              <w:ind w:right="2"/>
              <w:spacing w:after="0"/>
              <w:rPr>
                <w:sz w:val="20"/>
                <w:szCs w:val="20"/>
                <w:color w:val="auto"/>
              </w:rPr>
            </w:pPr>
            <w:r>
              <w:rPr>
                <w:rFonts w:ascii="Arial" w:cs="Arial" w:eastAsia="Arial" w:hAnsi="Arial"/>
                <w:sz w:val="14"/>
                <w:szCs w:val="14"/>
                <w:b w:val="1"/>
                <w:bCs w:val="1"/>
                <w:color w:val="auto"/>
                <w:w w:val="92"/>
              </w:rPr>
              <w:t>For the Three Months Ended June 30,</w:t>
            </w:r>
          </w:p>
        </w:tc>
        <w:tc>
          <w:tcPr>
            <w:tcW w:w="180" w:type="dxa"/>
            <w:vAlign w:val="bottom"/>
          </w:tcPr>
          <w:p>
            <w:pPr>
              <w:spacing w:after="0"/>
              <w:rPr>
                <w:sz w:val="15"/>
                <w:szCs w:val="15"/>
                <w:color w:val="auto"/>
              </w:rPr>
            </w:pPr>
          </w:p>
        </w:tc>
        <w:tc>
          <w:tcPr>
            <w:tcW w:w="19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For the Six Months Ended June</w:t>
            </w:r>
          </w:p>
        </w:tc>
        <w:tc>
          <w:tcPr>
            <w:tcW w:w="0" w:type="dxa"/>
            <w:vAlign w:val="bottom"/>
          </w:tcPr>
          <w:p>
            <w:pPr>
              <w:spacing w:after="0"/>
              <w:rPr>
                <w:sz w:val="1"/>
                <w:szCs w:val="1"/>
                <w:color w:val="auto"/>
              </w:rPr>
            </w:pPr>
          </w:p>
        </w:tc>
      </w:tr>
      <w:tr>
        <w:trPr>
          <w:trHeight w:val="24"/>
        </w:trPr>
        <w:tc>
          <w:tcPr>
            <w:tcW w:w="6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the Company</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1"/>
        </w:trPr>
        <w:tc>
          <w:tcPr>
            <w:tcW w:w="6340" w:type="dxa"/>
            <w:vAlign w:val="bottom"/>
          </w:tcPr>
          <w:p>
            <w:pPr>
              <w:ind w:left="20"/>
              <w:spacing w:after="0" w:line="161" w:lineRule="exact"/>
              <w:rPr>
                <w:sz w:val="20"/>
                <w:szCs w:val="20"/>
                <w:color w:val="auto"/>
              </w:rPr>
            </w:pPr>
            <w:r>
              <w:rPr>
                <w:rFonts w:ascii="Arial" w:cs="Arial" w:eastAsia="Arial" w:hAnsi="Arial"/>
                <w:sz w:val="16"/>
                <w:szCs w:val="16"/>
                <w:color w:val="auto"/>
                <w:w w:val="95"/>
              </w:rPr>
              <w:t>Adjustments to reconcile net loss attributable to the Company to FFO attributable to common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340" w:type="dxa"/>
            <w:vAlign w:val="bottom"/>
          </w:tcPr>
          <w:p>
            <w:pPr>
              <w:ind w:left="20"/>
              <w:spacing w:after="0"/>
              <w:rPr>
                <w:sz w:val="20"/>
                <w:szCs w:val="20"/>
                <w:color w:val="auto"/>
              </w:rPr>
            </w:pPr>
            <w:r>
              <w:rPr>
                <w:rFonts w:ascii="Arial" w:cs="Arial" w:eastAsia="Arial" w:hAnsi="Arial"/>
                <w:sz w:val="16"/>
                <w:szCs w:val="16"/>
                <w:color w:val="auto"/>
              </w:rPr>
              <w:t>stockholders and unit holders—basic and diluted: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 in the Operating Partnership</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Arial" w:cs="Arial" w:eastAsia="Arial" w:hAnsi="Arial"/>
                <w:sz w:val="16"/>
                <w:szCs w:val="16"/>
                <w:color w:val="auto"/>
              </w:rPr>
              <w:t>(Gain) loss on sale or write down of assets, net—consolidated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(10,279)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8"/>
              </w:rPr>
              <w:t>Add: noncontrolling interests share of gain on sale or write down of assets—consolidated</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Arial" w:cs="Arial" w:eastAsia="Arial" w:hAnsi="Arial"/>
                <w:sz w:val="16"/>
                <w:szCs w:val="16"/>
                <w:color w:val="auto"/>
              </w:rPr>
              <w:t>Add: gain on sale of undepreciated assets—consolidated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4,374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Less: noncontrolling interests share of gain of undepreciated assets—consolidated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Arial" w:cs="Arial" w:eastAsia="Arial" w:hAnsi="Arial"/>
                <w:sz w:val="16"/>
                <w:szCs w:val="16"/>
                <w:color w:val="auto"/>
              </w:rPr>
              <w:t>Loss on write-down of non-real estate assets—consolidated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on sale or write down of assets—unconsolidated joint ventures, net(1)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Arial" w:cs="Arial" w:eastAsia="Arial" w:hAnsi="Arial"/>
                <w:sz w:val="16"/>
                <w:szCs w:val="16"/>
                <w:color w:val="auto"/>
              </w:rPr>
              <w:t>Add: gain on sale of undepreciated assets—unconsolidated joint ventures(1)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70,388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141,841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Arial" w:cs="Arial" w:eastAsia="Arial" w:hAnsi="Arial"/>
                <w:sz w:val="16"/>
                <w:szCs w:val="16"/>
                <w:color w:val="auto"/>
              </w:rPr>
              <w:t>Less: noncontrolling interests in depreciation and amortization—consolidated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amortization—unconsolidated joint ventures(1)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85,337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7"/>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 and 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82,988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93,710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180,763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97"/>
        </w:trPr>
        <w:tc>
          <w:tcPr>
            <w:tcW w:w="6340" w:type="dxa"/>
            <w:vAlign w:val="bottom"/>
          </w:tcPr>
          <w:p>
            <w:pPr>
              <w:ind w:left="140"/>
              <w:spacing w:after="0"/>
              <w:rPr>
                <w:sz w:val="20"/>
                <w:szCs w:val="20"/>
                <w:color w:val="auto"/>
              </w:rPr>
            </w:pPr>
            <w:r>
              <w:rPr>
                <w:rFonts w:ascii="Arial" w:cs="Arial" w:eastAsia="Arial" w:hAnsi="Arial"/>
                <w:sz w:val="16"/>
                <w:szCs w:val="16"/>
                <w:color w:val="auto"/>
              </w:rPr>
              <w:t>Financing expense in connection with Chandler Freehold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54"/>
        </w:trPr>
        <w:tc>
          <w:tcPr>
            <w:tcW w:w="6340" w:type="dxa"/>
            <w:vAlign w:val="bottom"/>
            <w:shd w:val="clear" w:color="auto" w:fill="CCEEFF"/>
          </w:tcPr>
          <w:p>
            <w:pPr>
              <w:ind w:left="20"/>
              <w:spacing w:after="0" w:line="154" w:lineRule="exact"/>
              <w:rPr>
                <w:sz w:val="20"/>
                <w:szCs w:val="20"/>
                <w:color w:val="auto"/>
              </w:rPr>
            </w:pPr>
            <w:r>
              <w:rPr>
                <w:rFonts w:ascii="Arial" w:cs="Arial" w:eastAsia="Arial" w:hAnsi="Arial"/>
                <w:sz w:val="16"/>
                <w:szCs w:val="16"/>
                <w:color w:val="auto"/>
                <w:w w:val="98"/>
              </w:rPr>
              <w:t>FFO attributable to common stockholders and unit holders, excluding financing expense in</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88,708</w:t>
            </w: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102,850</w:t>
            </w:r>
          </w:p>
        </w:tc>
        <w:tc>
          <w:tcPr>
            <w:tcW w:w="4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177,415</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1"/>
        </w:trPr>
        <w:tc>
          <w:tcPr>
            <w:tcW w:w="63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connection with Chandler Freehold—basic and diluted</w:t>
            </w:r>
          </w:p>
        </w:tc>
        <w:tc>
          <w:tcPr>
            <w:tcW w:w="2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number of FFO shares outstanding for: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224,442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223,649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224,358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4"/>
        </w:trPr>
        <w:tc>
          <w:tcPr>
            <w:tcW w:w="6340" w:type="dxa"/>
            <w:vAlign w:val="bottom"/>
          </w:tcPr>
          <w:p>
            <w:pPr>
              <w:ind w:left="20"/>
              <w:spacing w:after="0"/>
              <w:rPr>
                <w:sz w:val="20"/>
                <w:szCs w:val="20"/>
                <w:color w:val="auto"/>
              </w:rPr>
            </w:pPr>
            <w:r>
              <w:rPr>
                <w:rFonts w:ascii="Arial" w:cs="Arial" w:eastAsia="Arial" w:hAnsi="Arial"/>
                <w:sz w:val="16"/>
                <w:szCs w:val="16"/>
                <w:color w:val="auto"/>
              </w:rPr>
              <w:t>Adjustments for impact of dilutive securities in computing FFO—diluted: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4445</wp:posOffset>
            </wp:positionV>
            <wp:extent cx="6927215" cy="133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7215" cy="13335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 and unit based compensation plans</w:t>
      </w:r>
    </w:p>
    <w:p>
      <w:pPr>
        <w:spacing w:after="0" w:line="26" w:lineRule="exact"/>
        <w:rPr>
          <w:sz w:val="20"/>
          <w:szCs w:val="20"/>
          <w:color w:val="auto"/>
        </w:rPr>
      </w:pPr>
    </w:p>
    <w:p>
      <w:pPr>
        <w:ind w:left="460" w:right="720"/>
        <w:spacing w:after="0" w:line="233" w:lineRule="auto"/>
        <w:rPr>
          <w:sz w:val="20"/>
          <w:szCs w:val="20"/>
          <w:color w:val="auto"/>
        </w:rPr>
      </w:pPr>
      <w:r>
        <w:rPr>
          <w:rFonts w:ascii="Arial" w:cs="Arial" w:eastAsia="Arial" w:hAnsi="Arial"/>
          <w:sz w:val="16"/>
          <w:szCs w:val="16"/>
          <w:color w:val="auto"/>
        </w:rPr>
        <w:t>Weighted average number of FFO shares outstanding for FFO attributable to common stockholders and unit holders—basic and diluted(2)</w:t>
      </w:r>
    </w:p>
    <w:p>
      <w:pPr>
        <w:spacing w:after="0" w:line="261"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Unconsolidated joint ventures are presented at the Company's pro rata share.</w:t>
      </w:r>
    </w:p>
    <w:p>
      <w:pPr>
        <w:spacing w:after="0" w:line="20" w:lineRule="exact"/>
        <w:rPr>
          <w:sz w:val="20"/>
          <w:szCs w:val="20"/>
          <w:color w:val="auto"/>
        </w:rPr>
      </w:pPr>
      <w:r>
        <w:rPr>
          <w:sz w:val="20"/>
          <w:szCs w:val="20"/>
          <w:color w:val="auto"/>
        </w:rPr>
        <w:br w:type="column"/>
      </w:r>
    </w:p>
    <w:p>
      <w:pPr>
        <w:ind w:left="360"/>
        <w:spacing w:after="0"/>
        <w:tabs>
          <w:tab w:leader="none" w:pos="164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14605</wp:posOffset>
            </wp:positionV>
            <wp:extent cx="28962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38" w:lineRule="exact"/>
        <w:rPr>
          <w:sz w:val="20"/>
          <w:szCs w:val="20"/>
          <w:color w:val="auto"/>
        </w:rPr>
      </w:pPr>
    </w:p>
    <w:p>
      <w:pPr>
        <w:spacing w:after="0"/>
        <w:tabs>
          <w:tab w:leader="none" w:pos="1280" w:val="left"/>
          <w:tab w:leader="none" w:pos="2560" w:val="left"/>
          <w:tab w:leader="none" w:pos="3720" w:val="left"/>
        </w:tabs>
        <w:rPr>
          <w:sz w:val="20"/>
          <w:szCs w:val="20"/>
          <w:color w:val="auto"/>
        </w:rPr>
      </w:pPr>
      <w:r>
        <w:rPr>
          <w:rFonts w:ascii="Arial" w:cs="Arial" w:eastAsia="Arial" w:hAnsi="Arial"/>
          <w:sz w:val="16"/>
          <w:szCs w:val="16"/>
          <w:color w:val="auto"/>
        </w:rPr>
        <w:t>224,442</w:t>
      </w:r>
      <w:r>
        <w:rPr>
          <w:sz w:val="20"/>
          <w:szCs w:val="20"/>
          <w:color w:val="auto"/>
        </w:rPr>
        <w:tab/>
      </w:r>
      <w:r>
        <w:rPr>
          <w:rFonts w:ascii="Arial" w:cs="Arial" w:eastAsia="Arial" w:hAnsi="Arial"/>
          <w:sz w:val="16"/>
          <w:szCs w:val="16"/>
          <w:color w:val="auto"/>
        </w:rPr>
        <w:t>223,649</w:t>
      </w:r>
      <w:r>
        <w:rPr>
          <w:sz w:val="20"/>
          <w:szCs w:val="20"/>
          <w:color w:val="auto"/>
        </w:rPr>
        <w:tab/>
      </w:r>
      <w:r>
        <w:rPr>
          <w:rFonts w:ascii="Arial" w:cs="Arial" w:eastAsia="Arial" w:hAnsi="Arial"/>
          <w:sz w:val="16"/>
          <w:szCs w:val="16"/>
          <w:color w:val="auto"/>
        </w:rPr>
        <w:t>224,358</w:t>
      </w:r>
      <w:r>
        <w:rPr>
          <w:sz w:val="20"/>
          <w:szCs w:val="20"/>
          <w:color w:val="auto"/>
        </w:rPr>
        <w:tab/>
      </w:r>
      <w:r>
        <w:rPr>
          <w:rFonts w:ascii="Arial" w:cs="Arial" w:eastAsia="Arial" w:hAnsi="Arial"/>
          <w:sz w:val="14"/>
          <w:szCs w:val="14"/>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14605</wp:posOffset>
            </wp:positionV>
            <wp:extent cx="289623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6235" cy="33655"/>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6600" w:space="720"/>
            <w:col w:w="4020"/>
          </w:cols>
          <w:pgMar w:left="320" w:top="122" w:right="239" w:bottom="1440" w:gutter="0" w:footer="0" w:header="0"/>
          <w:type w:val="continuous"/>
        </w:sectPr>
      </w:pPr>
    </w:p>
    <w:p>
      <w:pPr>
        <w:ind w:left="400" w:right="240" w:hanging="395"/>
        <w:spacing w:after="0" w:line="313" w:lineRule="auto"/>
        <w:tabs>
          <w:tab w:leader="none" w:pos="387" w:val="left"/>
        </w:tabs>
        <w:numPr>
          <w:ilvl w:val="0"/>
          <w:numId w:val="16"/>
        </w:numPr>
        <w:rPr>
          <w:rFonts w:ascii="Arial" w:cs="Arial" w:eastAsia="Arial" w:hAnsi="Arial"/>
          <w:sz w:val="15"/>
          <w:szCs w:val="15"/>
          <w:color w:val="auto"/>
        </w:rPr>
      </w:pPr>
      <w:r>
        <w:rPr>
          <w:rFonts w:ascii="Arial" w:cs="Arial" w:eastAsia="Arial" w:hAnsi="Arial"/>
          <w:sz w:val="15"/>
          <w:szCs w:val="15"/>
          <w:color w:val="auto"/>
        </w:rPr>
        <w:t>Calculated based upon basic net income as adjusted to reach basic FFO. Includes 9.0 million and 8.7 million of OP Units outstanding for the three months ended June 30, 2023 and 2022, respectively, and 9.0 million and 8.7 million of OP Units outstanding for the six months ended June 30, 2023 and 2022, respectively.</w:t>
      </w:r>
    </w:p>
    <w:p>
      <w:pPr>
        <w:spacing w:after="0" w:line="75" w:lineRule="exact"/>
        <w:rPr>
          <w:rFonts w:ascii="Arial" w:cs="Arial" w:eastAsia="Arial" w:hAnsi="Arial"/>
          <w:sz w:val="15"/>
          <w:szCs w:val="15"/>
          <w:color w:val="auto"/>
        </w:rPr>
      </w:pPr>
    </w:p>
    <w:p>
      <w:pPr>
        <w:ind w:left="400" w:right="260"/>
        <w:spacing w:after="0" w:line="261" w:lineRule="auto"/>
        <w:rPr>
          <w:rFonts w:ascii="Arial" w:cs="Arial" w:eastAsia="Arial" w:hAnsi="Arial"/>
          <w:sz w:val="15"/>
          <w:szCs w:val="15"/>
          <w:color w:val="auto"/>
        </w:rPr>
      </w:pPr>
      <w:r>
        <w:rPr>
          <w:rFonts w:ascii="Arial" w:cs="Arial" w:eastAsia="Arial" w:hAnsi="Arial"/>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primary market risk exposure is interest rate risk. The Company has managed and will continue to manage interest rate risk by</w:t>
      </w:r>
    </w:p>
    <w:p>
      <w:pPr>
        <w:spacing w:after="0" w:line="38" w:lineRule="exact"/>
        <w:rPr>
          <w:sz w:val="20"/>
          <w:szCs w:val="20"/>
          <w:color w:val="auto"/>
        </w:rPr>
      </w:pPr>
    </w:p>
    <w:p>
      <w:pPr>
        <w:ind w:right="220" w:firstLine="5"/>
        <w:spacing w:after="0" w:line="245" w:lineRule="auto"/>
        <w:tabs>
          <w:tab w:leader="none" w:pos="2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9" w:lineRule="exact"/>
        <w:rPr>
          <w:sz w:val="20"/>
          <w:szCs w:val="20"/>
          <w:color w:val="auto"/>
        </w:rPr>
      </w:pPr>
    </w:p>
    <w:p>
      <w:pPr>
        <w:ind w:right="200" w:firstLine="434"/>
        <w:spacing w:after="0" w:line="260" w:lineRule="auto"/>
        <w:rPr>
          <w:sz w:val="20"/>
          <w:szCs w:val="20"/>
          <w:color w:val="auto"/>
        </w:rPr>
      </w:pPr>
      <w:r>
        <w:rPr>
          <w:rFonts w:ascii="Arial" w:cs="Arial" w:eastAsia="Arial" w:hAnsi="Arial"/>
          <w:sz w:val="18"/>
          <w:szCs w:val="18"/>
          <w:color w:val="auto"/>
        </w:rPr>
        <w:t>The following table sets forth information as of June 30, 2023 concerning the Company's long-term debt obligations, including principal cash flows by scheduled maturity, weighted average interest rates and estimated fair value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Expected Maturity Date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4"/>
                <w:szCs w:val="14"/>
                <w:b w:val="1"/>
                <w:bCs w:val="1"/>
                <w:color w:val="auto"/>
              </w:rPr>
              <w:t>For the twelve months ending June 30,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CONSOLIDATED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CENTERS: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40" w:type="dxa"/>
            <w:vAlign w:val="bottom"/>
          </w:tcPr>
          <w:p>
            <w:pPr>
              <w:ind w:left="140"/>
              <w:spacing w:after="0"/>
              <w:rPr>
                <w:sz w:val="20"/>
                <w:szCs w:val="20"/>
                <w:color w:val="auto"/>
              </w:rPr>
            </w:pPr>
            <w:r>
              <w:rPr>
                <w:rFonts w:ascii="Arial" w:cs="Arial" w:eastAsia="Arial" w:hAnsi="Arial"/>
                <w:sz w:val="14"/>
                <w:szCs w:val="14"/>
                <w:color w:val="auto"/>
              </w:rPr>
              <w:t>Fixed rate</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294,735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1,086,351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217,473</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326,066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375,261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1,523,633</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3,823,519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3,448,516</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140"/>
              <w:spacing w:after="0"/>
              <w:rPr>
                <w:sz w:val="20"/>
                <w:szCs w:val="20"/>
                <w:color w:val="auto"/>
              </w:rPr>
            </w:pPr>
            <w:r>
              <w:rPr>
                <w:rFonts w:ascii="Arial" w:cs="Arial" w:eastAsia="Arial" w:hAnsi="Arial"/>
                <w:sz w:val="14"/>
                <w:szCs w:val="14"/>
                <w:color w:val="auto"/>
              </w:rPr>
              <w:t>Floating rate</w:t>
            </w:r>
          </w:p>
        </w:tc>
        <w:tc>
          <w:tcPr>
            <w:tcW w:w="24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205,820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505,820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492,463</w:t>
            </w:r>
          </w:p>
        </w:tc>
        <w:tc>
          <w:tcPr>
            <w:tcW w:w="0" w:type="dxa"/>
            <w:vAlign w:val="bottom"/>
          </w:tcPr>
          <w:p>
            <w:pPr>
              <w:spacing w:after="0"/>
              <w:rPr>
                <w:sz w:val="1"/>
                <w:szCs w:val="1"/>
                <w:color w:val="auto"/>
              </w:rPr>
            </w:pPr>
          </w:p>
        </w:tc>
      </w:tr>
      <w:tr>
        <w:trPr>
          <w:trHeight w:val="194"/>
        </w:trPr>
        <w:tc>
          <w:tcPr>
            <w:tcW w:w="1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7.23 %</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40" w:type="dxa"/>
            <w:vAlign w:val="bottom"/>
          </w:tcPr>
          <w:p>
            <w:pPr>
              <w:ind w:left="20"/>
              <w:spacing w:after="0" w:line="130" w:lineRule="exact"/>
              <w:rPr>
                <w:sz w:val="20"/>
                <w:szCs w:val="20"/>
                <w:color w:val="auto"/>
              </w:rPr>
            </w:pPr>
            <w:r>
              <w:rPr>
                <w:rFonts w:ascii="Arial" w:cs="Arial" w:eastAsia="Arial" w:hAnsi="Arial"/>
                <w:sz w:val="14"/>
                <w:szCs w:val="14"/>
                <w:color w:val="auto"/>
              </w:rPr>
              <w:t>Total debt—Consolidated</w:t>
            </w:r>
          </w:p>
        </w:tc>
        <w:tc>
          <w:tcPr>
            <w:tcW w:w="240" w:type="dxa"/>
            <w:vAlign w:val="bottom"/>
            <w:vMerge w:val="restart"/>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500,555</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0"/>
              <w:spacing w:after="0"/>
              <w:rPr>
                <w:sz w:val="20"/>
                <w:szCs w:val="20"/>
                <w:color w:val="auto"/>
              </w:rPr>
            </w:pPr>
            <w:r>
              <w:rPr>
                <w:rFonts w:ascii="Arial" w:cs="Arial" w:eastAsia="Arial" w:hAnsi="Arial"/>
                <w:sz w:val="14"/>
                <w:szCs w:val="14"/>
                <w:color w:val="auto"/>
              </w:rPr>
              <w:t>1,086,351</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10"/>
              <w:spacing w:after="0"/>
              <w:rPr>
                <w:sz w:val="20"/>
                <w:szCs w:val="20"/>
                <w:color w:val="auto"/>
              </w:rPr>
            </w:pPr>
            <w:r>
              <w:rPr>
                <w:rFonts w:ascii="Arial" w:cs="Arial" w:eastAsia="Arial" w:hAnsi="Arial"/>
                <w:sz w:val="14"/>
                <w:szCs w:val="14"/>
                <w:color w:val="auto"/>
              </w:rPr>
              <w:t>517,473</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326,066</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375,261</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1,523,633</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0"/>
              <w:spacing w:after="0"/>
              <w:rPr>
                <w:sz w:val="20"/>
                <w:szCs w:val="20"/>
                <w:color w:val="auto"/>
              </w:rPr>
            </w:pPr>
            <w:r>
              <w:rPr>
                <w:rFonts w:ascii="Arial" w:cs="Arial" w:eastAsia="Arial" w:hAnsi="Arial"/>
                <w:sz w:val="14"/>
                <w:szCs w:val="14"/>
                <w:color w:val="auto"/>
              </w:rPr>
              <w:t>4,329,339</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3,940,979</w:t>
            </w:r>
          </w:p>
        </w:tc>
        <w:tc>
          <w:tcPr>
            <w:tcW w:w="0" w:type="dxa"/>
            <w:vAlign w:val="bottom"/>
          </w:tcPr>
          <w:p>
            <w:pPr>
              <w:spacing w:after="0"/>
              <w:rPr>
                <w:sz w:val="1"/>
                <w:szCs w:val="1"/>
                <w:color w:val="auto"/>
              </w:rPr>
            </w:pPr>
          </w:p>
        </w:tc>
      </w:tr>
      <w:tr>
        <w:trPr>
          <w:trHeight w:val="171"/>
        </w:trPr>
        <w:tc>
          <w:tcPr>
            <w:tcW w:w="1740" w:type="dxa"/>
            <w:vAlign w:val="bottom"/>
          </w:tcPr>
          <w:p>
            <w:pPr>
              <w:ind w:left="20"/>
              <w:spacing w:after="0"/>
              <w:rPr>
                <w:sz w:val="20"/>
                <w:szCs w:val="20"/>
                <w:color w:val="auto"/>
              </w:rPr>
            </w:pPr>
            <w:r>
              <w:rPr>
                <w:rFonts w:ascii="Arial" w:cs="Arial" w:eastAsia="Arial" w:hAnsi="Arial"/>
                <w:sz w:val="14"/>
                <w:szCs w:val="14"/>
                <w:color w:val="auto"/>
              </w:rPr>
              <w:t>Centers</w:t>
            </w: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7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UNCONSOLIDATED</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7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20"/>
              <w:spacing w:after="0" w:line="131" w:lineRule="exact"/>
              <w:rPr>
                <w:sz w:val="20"/>
                <w:szCs w:val="20"/>
                <w:color w:val="auto"/>
              </w:rPr>
            </w:pPr>
            <w:r>
              <w:rPr>
                <w:rFonts w:ascii="Arial" w:cs="Arial" w:eastAsia="Arial" w:hAnsi="Arial"/>
                <w:sz w:val="14"/>
                <w:szCs w:val="14"/>
                <w:color w:val="auto"/>
              </w:rPr>
              <w:t>Long-term debt (at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40" w:type="dxa"/>
            <w:vAlign w:val="bottom"/>
          </w:tcPr>
          <w:p>
            <w:pPr>
              <w:ind w:left="20"/>
              <w:spacing w:after="0"/>
              <w:rPr>
                <w:sz w:val="20"/>
                <w:szCs w:val="20"/>
                <w:color w:val="auto"/>
              </w:rPr>
            </w:pPr>
            <w:r>
              <w:rPr>
                <w:rFonts w:ascii="Arial" w:cs="Arial" w:eastAsia="Arial" w:hAnsi="Arial"/>
                <w:sz w:val="14"/>
                <w:szCs w:val="14"/>
                <w:color w:val="auto"/>
              </w:rPr>
              <w:t>Company's pro rata share):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380,094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130,920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619,213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429,345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854,403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448,839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2,862,814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2,669,610</w:t>
            </w:r>
          </w:p>
        </w:tc>
        <w:tc>
          <w:tcPr>
            <w:tcW w:w="0" w:type="dxa"/>
            <w:vAlign w:val="bottom"/>
          </w:tcPr>
          <w:p>
            <w:pPr>
              <w:spacing w:after="0"/>
              <w:rPr>
                <w:sz w:val="1"/>
                <w:szCs w:val="1"/>
                <w:color w:val="auto"/>
              </w:rPr>
            </w:pPr>
          </w:p>
        </w:tc>
      </w:tr>
      <w:tr>
        <w:trPr>
          <w:trHeight w:val="181"/>
        </w:trPr>
        <w:tc>
          <w:tcPr>
            <w:tcW w:w="174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6.68 %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3.77 %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4.78 %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Floating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11,500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81,158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93,045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90,436</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Average interest rate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6.76 %</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7.90 %</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6.81 %</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74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w w:val="98"/>
              </w:rPr>
              <w:t>Total debt—Unconsolidated</w:t>
            </w:r>
          </w:p>
        </w:tc>
        <w:tc>
          <w:tcPr>
            <w:tcW w:w="24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391,594</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212,078</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619,213</w:t>
            </w: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429,345</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854,790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448,839</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2,955,859</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2,760,046</w:t>
            </w: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Joint Venture Centers</w:t>
            </w:r>
          </w:p>
        </w:tc>
        <w:tc>
          <w:tcPr>
            <w:tcW w:w="2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The Consolidated Centers' total fixed rate debt at June 30, 2023 and December 31, 2022 was $3.8 billion and $3.7 billion, respectively. The average interest rate on the fixed rate debt at June 30, 2023 and December 31, 2022 was 4.21% and 4.01%, respectively. The Consolidated Centers' total floating rate debt at June 30, 2023 and December 31, 2022 was $505.8 million and $700.7 million, respectively. The average interest rate on the floating rate debt at June 30, 2023 and December 31, 2022 was 7.23% and 6.53%, respectively.</w:t>
      </w:r>
    </w:p>
    <w:p>
      <w:pPr>
        <w:spacing w:after="0" w:line="127" w:lineRule="exact"/>
        <w:rPr>
          <w:sz w:val="20"/>
          <w:szCs w:val="20"/>
          <w:color w:val="auto"/>
        </w:rPr>
      </w:pPr>
    </w:p>
    <w:p>
      <w:pPr>
        <w:ind w:right="160" w:firstLine="434"/>
        <w:spacing w:after="0" w:line="315" w:lineRule="auto"/>
        <w:rPr>
          <w:sz w:val="20"/>
          <w:szCs w:val="20"/>
          <w:color w:val="auto"/>
        </w:rPr>
      </w:pPr>
      <w:r>
        <w:rPr>
          <w:rFonts w:ascii="Arial" w:cs="Arial" w:eastAsia="Arial" w:hAnsi="Arial"/>
          <w:sz w:val="15"/>
          <w:szCs w:val="15"/>
          <w:color w:val="auto"/>
        </w:rPr>
        <w:t>The Company's pro rata share of the unconsolidated joint venture Centers' fixed rate debt at June 30, 2023 and December 31, 2022 was $2.9 billion and $2.7 billion, respectively. The average interest rate on the fixed rate debt at June 30, 2023 and December 31, 2022 was 4.78% and 4.46%, respectively. The Company's pro rata share of the unconsolidated joint venture Centers' floating rate debt at June 30, 2023 and December 31, 2022 was $93.0 million and $90.7 million, respectively. The average interest rate on the floating rate debt at June 30, 2023 and December 31, 2022 was 6.81% and 5.81%, respectively.</w:t>
      </w:r>
    </w:p>
    <w:p>
      <w:pPr>
        <w:spacing w:after="0" w:line="67" w:lineRule="exact"/>
        <w:rPr>
          <w:sz w:val="20"/>
          <w:szCs w:val="20"/>
          <w:color w:val="auto"/>
        </w:rPr>
      </w:pPr>
    </w:p>
    <w:p>
      <w:pPr>
        <w:ind w:right="120" w:firstLine="434"/>
        <w:spacing w:after="0" w:line="280" w:lineRule="auto"/>
        <w:rPr>
          <w:sz w:val="20"/>
          <w:szCs w:val="20"/>
          <w:color w:val="auto"/>
        </w:rPr>
      </w:pPr>
      <w:r>
        <w:rPr>
          <w:rFonts w:ascii="Arial" w:cs="Arial" w:eastAsia="Arial" w:hAnsi="Arial"/>
          <w:sz w:val="16"/>
          <w:szCs w:val="16"/>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June 30, 2023, the Company has interest rate cap agreements in place (See Note 4—Investments in Unconsolidated Joint Ventures and Note 5—Derivative Instruments and Hedging Activities in the Company's Notes to the Consolidated Financial Statements). The respective loans each require an interest rate cap agreement to be in place at all times, which limits how high the prevailing floating loan rate index (i.e., LIBOR or SOFR) for the loans can rise. As of the date of this Quarterly Report on Form 10-Q, LIBOR/SOFR for each of these loans exceeded the strike interest rate (the "Strike Rate") within the required interest rate cap agreement. If LIBOR/SOFR does exceed the Strike Rate, each of these loans would then be considered fixed rate debt. If LIBOR/SOFR for these respective loans thereafter no longer exceeds the Strike Rate, then these loans would once again be considered floating rate debt.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60" w:firstLine="434"/>
        <w:spacing w:after="0" w:line="324"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$6.0 million per year based on $598.9 million of floating rate debt outstanding at June 30, 2023.</w:t>
      </w:r>
    </w:p>
    <w:p>
      <w:pPr>
        <w:spacing w:after="0" w:line="55" w:lineRule="exact"/>
        <w:rPr>
          <w:sz w:val="20"/>
          <w:szCs w:val="20"/>
          <w:color w:val="auto"/>
        </w:rPr>
      </w:pPr>
    </w:p>
    <w:p>
      <w:pPr>
        <w:ind w:right="200" w:firstLine="434"/>
        <w:spacing w:after="0" w:line="290" w:lineRule="auto"/>
        <w:rPr>
          <w:sz w:val="20"/>
          <w:szCs w:val="20"/>
          <w:color w:val="auto"/>
        </w:rPr>
      </w:pPr>
      <w:r>
        <w:rPr>
          <w:rFonts w:ascii="Arial" w:cs="Arial" w:eastAsia="Arial" w:hAnsi="Arial"/>
          <w:sz w:val="16"/>
          <w:szCs w:val="16"/>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96"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The Company expects that all LIBOR settings relevant to it will cease to be published or will no longer be representative after June 30, 2023. The discontinuation of LIBOR has not affected the Company’s ability to borrow or maintain already outstanding borrowings or hedging transactions. As of June 30, 2023, each of the agreements governing the Company’s variable rate debt has been converted to a SOFR-based interest rate, with the exception of the Santa Monica Place LIBOR-based loan. The Company has not incurred significant costs in completing such conversions to SOFR, nor have the Company’s borrowing costs changed significantly from such conversions. The Company has converted the Santa Monica Place loan to SOFR effective July 9, 2023.</w:t>
      </w:r>
    </w:p>
    <w:p>
      <w:pPr>
        <w:spacing w:after="0" w:line="9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41"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June 30, 2023,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04" w:lineRule="exact"/>
        <w:rPr>
          <w:sz w:val="20"/>
          <w:szCs w:val="20"/>
          <w:color w:val="auto"/>
        </w:rPr>
      </w:pPr>
    </w:p>
    <w:p>
      <w:pPr>
        <w:ind w:right="640" w:firstLine="434"/>
        <w:spacing w:after="0" w:line="252" w:lineRule="auto"/>
        <w:rPr>
          <w:sz w:val="20"/>
          <w:szCs w:val="20"/>
          <w:color w:val="auto"/>
        </w:rPr>
      </w:pPr>
      <w:r>
        <w:rPr>
          <w:rFonts w:ascii="Arial" w:cs="Arial" w:eastAsia="Arial" w:hAnsi="Arial"/>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4" w:lineRule="exact"/>
        <w:rPr>
          <w:sz w:val="20"/>
          <w:szCs w:val="20"/>
          <w:color w:val="auto"/>
        </w:rPr>
      </w:pPr>
    </w:p>
    <w:p>
      <w:pPr>
        <w:ind w:right="240" w:firstLine="434"/>
        <w:spacing w:after="0" w:line="324" w:lineRule="auto"/>
        <w:rPr>
          <w:sz w:val="20"/>
          <w:szCs w:val="20"/>
          <w:color w:val="auto"/>
        </w:rPr>
      </w:pPr>
      <w:r>
        <w:rPr>
          <w:rFonts w:ascii="Arial" w:cs="Arial" w:eastAsia="Arial" w:hAnsi="Arial"/>
          <w:sz w:val="16"/>
          <w:szCs w:val="16"/>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1" w:lineRule="exact"/>
        <w:rPr>
          <w:sz w:val="20"/>
          <w:szCs w:val="20"/>
          <w:color w:val="auto"/>
        </w:rPr>
      </w:pPr>
    </w:p>
    <w:p>
      <w:pPr>
        <w:ind w:right="320" w:firstLine="434"/>
        <w:spacing w:after="0" w:line="261" w:lineRule="auto"/>
        <w:rPr>
          <w:sz w:val="20"/>
          <w:szCs w:val="20"/>
          <w:color w:val="auto"/>
        </w:rPr>
      </w:pPr>
      <w:r>
        <w:rPr>
          <w:rFonts w:ascii="Arial" w:cs="Arial" w:eastAsia="Arial" w:hAnsi="Arial"/>
          <w:sz w:val="18"/>
          <w:szCs w:val="18"/>
          <w:color w:val="auto"/>
        </w:rPr>
        <w:t>There have been no material changes to the risk factors relating to the Company set forth under the caption "Item 1A. Risk Factors" in the Company's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88"/>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ind w:right="261"/>
              <w:spacing w:after="0"/>
              <w:rPr>
                <w:sz w:val="20"/>
                <w:szCs w:val="20"/>
                <w:color w:val="auto"/>
              </w:rPr>
            </w:pPr>
            <w:r>
              <w:rPr>
                <w:rFonts w:ascii="Arial" w:cs="Arial" w:eastAsia="Arial" w:hAnsi="Arial"/>
                <w:sz w:val="16"/>
                <w:szCs w:val="16"/>
                <w:b w:val="1"/>
                <w:bCs w:val="1"/>
                <w:color w:val="auto"/>
                <w:w w:val="92"/>
              </w:rPr>
              <w:t>Approximate Dollar</w:t>
            </w: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61"/>
              <w:spacing w:after="0" w:line="158" w:lineRule="exact"/>
              <w:rPr>
                <w:sz w:val="20"/>
                <w:szCs w:val="20"/>
                <w:color w:val="auto"/>
              </w:rPr>
            </w:pPr>
            <w:r>
              <w:rPr>
                <w:rFonts w:ascii="Arial" w:cs="Arial" w:eastAsia="Arial" w:hAnsi="Arial"/>
                <w:sz w:val="16"/>
                <w:szCs w:val="16"/>
                <w:b w:val="1"/>
                <w:bCs w:val="1"/>
                <w:color w:val="auto"/>
                <w:w w:val="88"/>
              </w:rPr>
              <w:t>Value of Shares That</w:t>
            </w: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1"/>
              </w:rPr>
              <w:t>Total Number of</w:t>
            </w:r>
          </w:p>
        </w:tc>
        <w:tc>
          <w:tcPr>
            <w:tcW w:w="10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9"/>
              </w:rPr>
              <w:t>Average Price Paid</w:t>
            </w:r>
          </w:p>
        </w:tc>
        <w:tc>
          <w:tcPr>
            <w:tcW w:w="100" w:type="dxa"/>
            <w:vAlign w:val="bottom"/>
          </w:tcPr>
          <w:p>
            <w:pPr>
              <w:spacing w:after="0"/>
              <w:rPr>
                <w:sz w:val="13"/>
                <w:szCs w:val="13"/>
                <w:color w:val="auto"/>
              </w:rPr>
            </w:pPr>
          </w:p>
        </w:tc>
        <w:tc>
          <w:tcPr>
            <w:tcW w:w="2080" w:type="dxa"/>
            <w:vAlign w:val="bottom"/>
            <w:gridSpan w:val="2"/>
          </w:tcPr>
          <w:p>
            <w:pPr>
              <w:jc w:val="center"/>
              <w:ind w:right="400"/>
              <w:spacing w:after="0" w:line="158" w:lineRule="exact"/>
              <w:rPr>
                <w:sz w:val="20"/>
                <w:szCs w:val="20"/>
                <w:color w:val="auto"/>
              </w:rPr>
            </w:pPr>
            <w:r>
              <w:rPr>
                <w:rFonts w:ascii="Arial" w:cs="Arial" w:eastAsia="Arial" w:hAnsi="Arial"/>
                <w:sz w:val="16"/>
                <w:szCs w:val="16"/>
                <w:b w:val="1"/>
                <w:bCs w:val="1"/>
                <w:color w:val="auto"/>
                <w:w w:val="87"/>
              </w:rPr>
              <w:t>Purchased as Part of</w:t>
            </w:r>
          </w:p>
        </w:tc>
        <w:tc>
          <w:tcPr>
            <w:tcW w:w="100" w:type="dxa"/>
            <w:vAlign w:val="bottom"/>
          </w:tcPr>
          <w:p>
            <w:pPr>
              <w:spacing w:after="0"/>
              <w:rPr>
                <w:sz w:val="13"/>
                <w:szCs w:val="13"/>
                <w:color w:val="auto"/>
              </w:rPr>
            </w:pPr>
          </w:p>
        </w:tc>
        <w:tc>
          <w:tcPr>
            <w:tcW w:w="1940" w:type="dxa"/>
            <w:vAlign w:val="bottom"/>
            <w:gridSpan w:val="2"/>
          </w:tcPr>
          <w:p>
            <w:pPr>
              <w:jc w:val="center"/>
              <w:ind w:right="141"/>
              <w:spacing w:after="0" w:line="158" w:lineRule="exact"/>
              <w:rPr>
                <w:sz w:val="20"/>
                <w:szCs w:val="20"/>
                <w:color w:val="auto"/>
              </w:rPr>
            </w:pPr>
            <w:r>
              <w:rPr>
                <w:rFonts w:ascii="Arial" w:cs="Arial" w:eastAsia="Arial" w:hAnsi="Arial"/>
                <w:sz w:val="16"/>
                <w:szCs w:val="16"/>
                <w:b w:val="1"/>
                <w:bCs w:val="1"/>
                <w:color w:val="auto"/>
                <w:w w:val="88"/>
              </w:rPr>
              <w:t>May Yet Be Purchased</w:t>
            </w:r>
          </w:p>
        </w:tc>
        <w:tc>
          <w:tcPr>
            <w:tcW w:w="0" w:type="dxa"/>
            <w:vAlign w:val="bottom"/>
          </w:tcPr>
          <w:p>
            <w:pPr>
              <w:spacing w:after="0"/>
              <w:rPr>
                <w:sz w:val="1"/>
                <w:szCs w:val="1"/>
                <w:color w:val="auto"/>
              </w:rPr>
            </w:pPr>
          </w:p>
        </w:tc>
      </w:tr>
      <w:tr>
        <w:trPr>
          <w:trHeight w:val="158"/>
        </w:trPr>
        <w:tc>
          <w:tcPr>
            <w:tcW w:w="3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2"/>
          </w:tcPr>
          <w:p>
            <w:pPr>
              <w:jc w:val="center"/>
              <w:ind w:right="400"/>
              <w:spacing w:after="0" w:line="158" w:lineRule="exact"/>
              <w:rPr>
                <w:sz w:val="20"/>
                <w:szCs w:val="20"/>
                <w:color w:val="auto"/>
              </w:rPr>
            </w:pPr>
            <w:r>
              <w:rPr>
                <w:rFonts w:ascii="Arial" w:cs="Arial" w:eastAsia="Arial" w:hAnsi="Arial"/>
                <w:sz w:val="16"/>
                <w:szCs w:val="16"/>
                <w:b w:val="1"/>
                <w:bCs w:val="1"/>
                <w:color w:val="auto"/>
                <w:w w:val="88"/>
              </w:rPr>
              <w:t>Publicly Announced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61"/>
              <w:spacing w:after="0" w:line="158" w:lineRule="exact"/>
              <w:rPr>
                <w:sz w:val="20"/>
                <w:szCs w:val="20"/>
                <w:color w:val="auto"/>
              </w:rPr>
            </w:pPr>
            <w:r>
              <w:rPr>
                <w:rFonts w:ascii="Arial" w:cs="Arial" w:eastAsia="Arial" w:hAnsi="Arial"/>
                <w:sz w:val="16"/>
                <w:szCs w:val="16"/>
                <w:b w:val="1"/>
                <w:bCs w:val="1"/>
                <w:color w:val="auto"/>
                <w:w w:val="89"/>
              </w:rPr>
              <w:t>Under the Plans or</w:t>
            </w:r>
          </w:p>
        </w:tc>
        <w:tc>
          <w:tcPr>
            <w:tcW w:w="0" w:type="dxa"/>
            <w:vAlign w:val="bottom"/>
          </w:tcPr>
          <w:p>
            <w:pPr>
              <w:spacing w:after="0"/>
              <w:rPr>
                <w:sz w:val="1"/>
                <w:szCs w:val="1"/>
                <w:color w:val="auto"/>
              </w:rPr>
            </w:pPr>
          </w:p>
        </w:tc>
      </w:tr>
      <w:tr>
        <w:trPr>
          <w:trHeight w:val="207"/>
        </w:trPr>
        <w:tc>
          <w:tcPr>
            <w:tcW w:w="3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85"/>
              </w:rPr>
              <w:t>Shares Purchased</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8"/>
              </w:rPr>
              <w:t>Plans or Programs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61"/>
              <w:spacing w:after="0"/>
              <w:rPr>
                <w:sz w:val="20"/>
                <w:szCs w:val="20"/>
                <w:color w:val="auto"/>
              </w:rPr>
            </w:pPr>
            <w:r>
              <w:rPr>
                <w:rFonts w:ascii="Arial" w:cs="Arial" w:eastAsia="Arial" w:hAnsi="Arial"/>
                <w:sz w:val="16"/>
                <w:szCs w:val="16"/>
                <w:b w:val="1"/>
                <w:bCs w:val="1"/>
                <w:color w:val="auto"/>
                <w:w w:val="89"/>
              </w:rPr>
              <w:t>Programs (1)</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2023 to April 30, 2023</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May 1, 2023 to May 31, 2023</w:t>
            </w:r>
          </w:p>
        </w:tc>
        <w:tc>
          <w:tcPr>
            <w:tcW w:w="120" w:type="dxa"/>
            <w:vAlign w:val="bottom"/>
          </w:tcPr>
          <w:p>
            <w:pPr>
              <w:spacing w:after="0"/>
              <w:rPr>
                <w:sz w:val="20"/>
                <w:szCs w:val="20"/>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1, 2023 to June 30, 2023</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ind w:left="8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180" w:right="240" w:hanging="544"/>
        <w:spacing w:after="0" w:line="278"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4"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During the three months ended June 30, 2023,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Arial" w:cs="Arial" w:eastAsia="Arial" w:hAnsi="Arial"/>
                <w:sz w:val="14"/>
                <w:szCs w:val="14"/>
                <w:b w:val="1"/>
                <w:bCs w:val="1"/>
                <w:color w:val="auto"/>
                <w:w w:val="94"/>
              </w:rPr>
              <w:t>Exhibit</w:t>
            </w:r>
          </w:p>
        </w:tc>
        <w:tc>
          <w:tcPr>
            <w:tcW w:w="3220" w:type="dxa"/>
            <w:vAlign w:val="bottom"/>
            <w:vMerge w:val="restart"/>
          </w:tcPr>
          <w:p>
            <w:pPr>
              <w:ind w:left="25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3"/>
        </w:trPr>
        <w:tc>
          <w:tcPr>
            <w:tcW w:w="3040" w:type="dxa"/>
            <w:vAlign w:val="bottom"/>
          </w:tcPr>
          <w:p>
            <w:pPr>
              <w:jc w:val="center"/>
              <w:ind w:right="2470"/>
              <w:spacing w:after="0"/>
              <w:rPr>
                <w:sz w:val="20"/>
                <w:szCs w:val="20"/>
                <w:color w:val="auto"/>
              </w:rPr>
            </w:pPr>
            <w:r>
              <w:rPr>
                <w:rFonts w:ascii="Arial" w:cs="Arial" w:eastAsia="Arial" w:hAnsi="Arial"/>
                <w:sz w:val="14"/>
                <w:szCs w:val="14"/>
                <w:b w:val="1"/>
                <w:bCs w:val="1"/>
                <w:color w:val="auto"/>
                <w:w w:val="94"/>
              </w:rPr>
              <w:t>Number</w:t>
            </w: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10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8" w:lineRule="exact"/>
        <w:rPr>
          <w:sz w:val="20"/>
          <w:szCs w:val="20"/>
          <w:color w:val="auto"/>
        </w:rPr>
      </w:pPr>
    </w:p>
    <w:p>
      <w:pPr>
        <w:ind w:left="1160" w:hanging="365"/>
        <w:spacing w:after="0"/>
        <w:tabs>
          <w:tab w:leader="none" w:pos="1140" w:val="left"/>
        </w:tabs>
        <w:rPr>
          <w:rFonts w:ascii="Arial" w:cs="Arial" w:eastAsia="Arial" w:hAnsi="Arial"/>
          <w:sz w:val="16"/>
          <w:szCs w:val="16"/>
          <w:u w:val="single" w:color="auto"/>
          <w:color w:val="0000FF"/>
        </w:rPr>
      </w:pPr>
      <w:hyperlink r:id="rId61">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61">
        <w:r>
          <w:rPr>
            <w:rFonts w:ascii="Arial" w:cs="Arial" w:eastAsia="Arial" w:hAnsi="Arial"/>
            <w:sz w:val="16"/>
            <w:szCs w:val="16"/>
            <w:u w:val="single" w:color="auto"/>
            <w:color w:val="0000FF"/>
          </w:rPr>
          <w:t>Master Agreement, dated November 14, 2014, by and among Pacific Premier Retail LP, MACPT LLC, Macerich PPR GP LLC, Queens JV LP,</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Macerich Queens JV LP, Queens JV GP LLC, 1700480 Ontario Inc. and the Company (incorporated by reference as an exhibit to the</w:t>
        </w:r>
      </w:hyperlink>
    </w:p>
    <w:p>
      <w:pPr>
        <w:spacing w:after="0" w:line="1" w:lineRule="exact"/>
        <w:rPr>
          <w:rFonts w:ascii="Arial" w:cs="Arial" w:eastAsia="Arial" w:hAnsi="Arial"/>
          <w:sz w:val="18"/>
          <w:szCs w:val="18"/>
          <w:u w:val="single" w:color="auto"/>
          <w:color w:val="0000FF"/>
        </w:rPr>
      </w:pPr>
    </w:p>
    <w:p>
      <w:pPr>
        <w:ind w:left="116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Company’s Current Report on Form 8-K, event date November 14, 2014).</w:t>
        </w:r>
      </w:hyperlink>
    </w:p>
    <w:p>
      <w:pPr>
        <w:spacing w:after="0" w:line="2" w:lineRule="exact"/>
        <w:rPr>
          <w:rFonts w:ascii="Arial" w:cs="Arial" w:eastAsia="Arial" w:hAnsi="Arial"/>
          <w:sz w:val="18"/>
          <w:szCs w:val="18"/>
          <w:u w:val="single" w:color="auto"/>
          <w:color w:val="0000FF"/>
        </w:rPr>
      </w:pPr>
    </w:p>
    <w:p>
      <w:pPr>
        <w:ind w:left="1160" w:right="40" w:hanging="365"/>
        <w:spacing w:after="0" w:line="265"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1" w:lineRule="exact"/>
        <w:rPr>
          <w:rFonts w:ascii="Arial" w:cs="Arial" w:eastAsia="Arial" w:hAnsi="Arial"/>
          <w:sz w:val="18"/>
          <w:szCs w:val="18"/>
          <w:u w:val="single" w:color="auto"/>
          <w:color w:val="0000FF"/>
        </w:rPr>
      </w:pPr>
    </w:p>
    <w:p>
      <w:pPr>
        <w:ind w:left="1160" w:right="240" w:hanging="496"/>
        <w:spacing w:after="0" w:line="227" w:lineRule="auto"/>
        <w:tabs>
          <w:tab w:leader="none" w:pos="1140" w:val="left"/>
        </w:tabs>
        <w:rPr>
          <w:sz w:val="20"/>
          <w:szCs w:val="20"/>
          <w:color w:val="auto"/>
        </w:rPr>
      </w:pPr>
      <w:r>
        <w:rPr>
          <w:rFonts w:ascii="Arial" w:cs="Arial" w:eastAsia="Arial" w:hAnsi="Arial"/>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spacing w:after="0" w:line="3" w:lineRule="exact"/>
        <w:rPr>
          <w:rFonts w:ascii="Arial" w:cs="Arial" w:eastAsia="Arial" w:hAnsi="Arial"/>
          <w:sz w:val="18"/>
          <w:szCs w:val="18"/>
          <w:u w:val="single" w:color="auto"/>
          <w:color w:val="0000FF"/>
        </w:rPr>
      </w:pPr>
    </w:p>
    <w:p>
      <w:pPr>
        <w:ind w:left="1160" w:right="180" w:hanging="496"/>
        <w:spacing w:after="0" w:line="235" w:lineRule="auto"/>
        <w:tabs>
          <w:tab w:leader="none" w:pos="1140" w:val="left"/>
        </w:tabs>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r:id="rId62">
        <w:r>
          <w:rPr>
            <w:rFonts w:ascii="Arial" w:cs="Arial" w:eastAsia="Arial" w:hAnsi="Arial"/>
            <w:sz w:val="18"/>
            <w:szCs w:val="18"/>
            <w:u w:val="single" w:color="auto"/>
            <w:color w:val="0000FF"/>
          </w:rPr>
          <w:t>Articles Supplementary of the Company (with respect to the first paragraph) (incorporated by reference as an exhibit to the Company's 1998</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Form 10-K).</w:t>
        </w:r>
      </w:hyperlink>
    </w:p>
    <w:p>
      <w:pPr>
        <w:spacing w:after="0" w:line="2" w:lineRule="exact"/>
        <w:rPr>
          <w:rFonts w:ascii="Arial" w:cs="Arial" w:eastAsia="Arial" w:hAnsi="Arial"/>
          <w:sz w:val="18"/>
          <w:szCs w:val="18"/>
          <w:u w:val="single" w:color="auto"/>
          <w:color w:val="0000FF"/>
        </w:rPr>
      </w:pPr>
    </w:p>
    <w:p>
      <w:pPr>
        <w:ind w:left="1160" w:right="100" w:hanging="496"/>
        <w:spacing w:after="0" w:line="227" w:lineRule="auto"/>
        <w:tabs>
          <w:tab w:leader="none" w:pos="1140" w:val="left"/>
        </w:tabs>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3.1.3</w:t>
        </w:r>
      </w:hyperlink>
      <w:r>
        <w:rPr>
          <w:rFonts w:ascii="Arial" w:cs="Arial" w:eastAsia="Arial" w:hAnsi="Arial"/>
          <w:sz w:val="18"/>
          <w:szCs w:val="18"/>
          <w:u w:val="single" w:color="auto"/>
          <w:color w:val="0000FF"/>
        </w:rPr>
        <w:tab/>
      </w:r>
      <w:hyperlink r:id="rId63">
        <w:r>
          <w:rPr>
            <w:rFonts w:ascii="Arial" w:cs="Arial" w:eastAsia="Arial" w:hAnsi="Arial"/>
            <w:sz w:val="18"/>
            <w:szCs w:val="18"/>
            <w:u w:val="single" w:color="auto"/>
            <w:color w:val="0000FF"/>
          </w:rPr>
          <w:t>Articles Supplementary of the Company (Series D Preferred Stock) (incorporated by reference as an exhibit to the Company's Current Report</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on Form 8-K, event date July 26, 2002).</w:t>
        </w:r>
      </w:hyperlink>
    </w:p>
    <w:p>
      <w:pPr>
        <w:spacing w:after="0" w:line="16" w:lineRule="exact"/>
        <w:rPr>
          <w:rFonts w:ascii="Arial" w:cs="Arial" w:eastAsia="Arial" w:hAnsi="Arial"/>
          <w:sz w:val="18"/>
          <w:szCs w:val="18"/>
          <w:u w:val="single" w:color="auto"/>
          <w:color w:val="0000FF"/>
        </w:rPr>
      </w:pPr>
    </w:p>
    <w:p>
      <w:pPr>
        <w:ind w:left="1160" w:right="300" w:hanging="496"/>
        <w:spacing w:after="0" w:line="227" w:lineRule="auto"/>
        <w:tabs>
          <w:tab w:leader="none" w:pos="1140" w:val="left"/>
        </w:tabs>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3.1.4</w:t>
        </w:r>
      </w:hyperlink>
      <w:r>
        <w:rPr>
          <w:rFonts w:ascii="Arial" w:cs="Arial" w:eastAsia="Arial" w:hAnsi="Arial"/>
          <w:sz w:val="18"/>
          <w:szCs w:val="18"/>
          <w:u w:val="single" w:color="auto"/>
          <w:color w:val="0000FF"/>
        </w:rPr>
        <w:tab/>
      </w:r>
      <w:hyperlink r:id="rId64">
        <w:r>
          <w:rPr>
            <w:rFonts w:ascii="Arial" w:cs="Arial" w:eastAsia="Arial" w:hAnsi="Arial"/>
            <w:sz w:val="18"/>
            <w:szCs w:val="18"/>
            <w:u w:val="single" w:color="auto"/>
            <w:color w:val="0000FF"/>
          </w:rPr>
          <w:t>Articles Supplementary of the Company (incorporated by reference as an exhibit to the Company's Registration Statement on Form S-3, as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amended (No. 333-88718)).</w:t>
        </w:r>
      </w:hyperlink>
    </w:p>
    <w:p>
      <w:pPr>
        <w:spacing w:after="0" w:line="3" w:lineRule="exact"/>
        <w:rPr>
          <w:rFonts w:ascii="Arial" w:cs="Arial" w:eastAsia="Arial" w:hAnsi="Arial"/>
          <w:sz w:val="18"/>
          <w:szCs w:val="18"/>
          <w:u w:val="single" w:color="auto"/>
          <w:color w:val="0000FF"/>
        </w:rPr>
      </w:pPr>
    </w:p>
    <w:p>
      <w:pPr>
        <w:ind w:left="1160" w:right="120" w:hanging="496"/>
        <w:spacing w:after="0" w:line="235" w:lineRule="auto"/>
        <w:tabs>
          <w:tab w:leader="none" w:pos="1140" w:val="left"/>
        </w:tabs>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3.1.5</w:t>
        </w:r>
      </w:hyperlink>
      <w:r>
        <w:rPr>
          <w:rFonts w:ascii="Arial" w:cs="Arial" w:eastAsia="Arial" w:hAnsi="Arial"/>
          <w:sz w:val="18"/>
          <w:szCs w:val="18"/>
          <w:u w:val="single" w:color="auto"/>
          <w:color w:val="0000FF"/>
        </w:rPr>
        <w:tab/>
      </w:r>
      <w:hyperlink r:id="rId65">
        <w:r>
          <w:rPr>
            <w:rFonts w:ascii="Arial" w:cs="Arial" w:eastAsia="Arial" w:hAnsi="Arial"/>
            <w:sz w:val="18"/>
            <w:szCs w:val="18"/>
            <w:u w:val="single" w:color="auto"/>
            <w:color w:val="0000FF"/>
          </w:rPr>
          <w:t>Articles of Amendment of the Company (declassification of Board) (incorporated by reference as an exhibit to the Company's 2008 Form 10-</w:t>
        </w:r>
      </w:hyperlink>
      <w:hyperlink r:id="rId65">
        <w:r>
          <w:rPr>
            <w:rFonts w:ascii="Arial" w:cs="Arial" w:eastAsia="Arial" w:hAnsi="Arial"/>
            <w:sz w:val="18"/>
            <w:szCs w:val="18"/>
            <w:u w:val="single" w:color="auto"/>
            <w:color w:val="0000FF"/>
          </w:rPr>
          <w:t>K).</w:t>
        </w:r>
      </w:hyperlink>
    </w:p>
    <w:p>
      <w:pPr>
        <w:spacing w:after="0" w:line="2" w:lineRule="exact"/>
        <w:rPr>
          <w:rFonts w:ascii="Arial" w:cs="Arial" w:eastAsia="Arial" w:hAnsi="Arial"/>
          <w:sz w:val="18"/>
          <w:szCs w:val="18"/>
          <w:u w:val="single" w:color="auto"/>
          <w:color w:val="0000FF"/>
        </w:rPr>
      </w:pPr>
    </w:p>
    <w:p>
      <w:pPr>
        <w:ind w:left="1160" w:right="240" w:hanging="496"/>
        <w:spacing w:after="0" w:line="227" w:lineRule="auto"/>
        <w:tabs>
          <w:tab w:leader="none" w:pos="1140" w:val="left"/>
        </w:tabs>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3.1.6</w:t>
        </w:r>
      </w:hyperlink>
      <w:r>
        <w:rPr>
          <w:rFonts w:ascii="Arial" w:cs="Arial" w:eastAsia="Arial" w:hAnsi="Arial"/>
          <w:sz w:val="18"/>
          <w:szCs w:val="18"/>
          <w:u w:val="single" w:color="auto"/>
          <w:color w:val="0000FF"/>
        </w:rPr>
        <w:tab/>
      </w:r>
      <w:hyperlink r:id="rId66">
        <w:r>
          <w:rPr>
            <w:rFonts w:ascii="Arial" w:cs="Arial" w:eastAsia="Arial" w:hAnsi="Arial"/>
            <w:sz w:val="18"/>
            <w:szCs w:val="18"/>
            <w:u w:val="single" w:color="auto"/>
            <w:color w:val="0000FF"/>
          </w:rPr>
          <w:t>Articles Supplementary of the Company (incorporated by reference as an exhibit to the Company's Current Report on Form 8-K, event date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February 5, 2009).</w:t>
        </w:r>
      </w:hyperlink>
    </w:p>
    <w:p>
      <w:pPr>
        <w:spacing w:after="0" w:line="16" w:lineRule="exact"/>
        <w:rPr>
          <w:rFonts w:ascii="Arial" w:cs="Arial" w:eastAsia="Arial" w:hAnsi="Arial"/>
          <w:sz w:val="18"/>
          <w:szCs w:val="18"/>
          <w:u w:val="single" w:color="auto"/>
          <w:color w:val="0000FF"/>
        </w:rPr>
      </w:pPr>
    </w:p>
    <w:p>
      <w:pPr>
        <w:ind w:left="1160" w:right="320" w:hanging="496"/>
        <w:spacing w:after="0" w:line="227" w:lineRule="auto"/>
        <w:tabs>
          <w:tab w:leader="none" w:pos="1140" w:val="left"/>
        </w:tabs>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3.1.7</w:t>
        </w:r>
      </w:hyperlink>
      <w:r>
        <w:rPr>
          <w:rFonts w:ascii="Arial" w:cs="Arial" w:eastAsia="Arial" w:hAnsi="Arial"/>
          <w:sz w:val="18"/>
          <w:szCs w:val="18"/>
          <w:u w:val="single" w:color="auto"/>
          <w:color w:val="0000FF"/>
        </w:rPr>
        <w:tab/>
      </w:r>
      <w:hyperlink r:id="rId67">
        <w:r>
          <w:rPr>
            <w:rFonts w:ascii="Arial" w:cs="Arial" w:eastAsia="Arial" w:hAnsi="Arial"/>
            <w:sz w:val="18"/>
            <w:szCs w:val="18"/>
            <w:u w:val="single" w:color="auto"/>
            <w:color w:val="0000FF"/>
          </w:rPr>
          <w:t>Articles of Amendment of the Company (increased authorized shares) (incorporated by reference as an exhibit to the Company's Quarterly</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Report on Form 10-Q for the quarter ended June 30, 2009).</w:t>
        </w:r>
      </w:hyperlink>
    </w:p>
    <w:p>
      <w:pPr>
        <w:spacing w:after="0" w:line="3" w:lineRule="exact"/>
        <w:rPr>
          <w:rFonts w:ascii="Arial" w:cs="Arial" w:eastAsia="Arial" w:hAnsi="Arial"/>
          <w:sz w:val="18"/>
          <w:szCs w:val="18"/>
          <w:u w:val="single" w:color="auto"/>
          <w:color w:val="0000FF"/>
        </w:rPr>
      </w:pPr>
    </w:p>
    <w:p>
      <w:pPr>
        <w:jc w:val="center"/>
        <w:ind w:left="660" w:right="320"/>
        <w:spacing w:after="0" w:line="265" w:lineRule="auto"/>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3.1.8  Articles of Amendment of the Company (to eliminate the supermajority vote requirement to amend the charter and to clarify a reference in</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Article NINTH) (incorporated by reference as an exhibit to the Company’s Current Report on Form 8-K, event date May 30, 2014).</w:t>
        </w:r>
      </w:hyperlink>
    </w:p>
    <w:p>
      <w:pPr>
        <w:spacing w:after="0" w:line="1" w:lineRule="exact"/>
        <w:rPr>
          <w:sz w:val="20"/>
          <w:szCs w:val="20"/>
          <w:color w:val="auto"/>
        </w:rPr>
      </w:pPr>
    </w:p>
    <w:p>
      <w:pPr>
        <w:ind w:left="1160" w:right="120" w:hanging="496"/>
        <w:spacing w:after="0" w:line="227" w:lineRule="auto"/>
        <w:tabs>
          <w:tab w:leader="none" w:pos="1140" w:val="left"/>
        </w:tabs>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3.1.9</w:t>
        </w:r>
      </w:hyperlink>
      <w:r>
        <w:rPr>
          <w:rFonts w:ascii="Arial" w:cs="Arial" w:eastAsia="Arial" w:hAnsi="Arial"/>
          <w:sz w:val="18"/>
          <w:szCs w:val="18"/>
          <w:u w:val="single" w:color="auto"/>
          <w:color w:val="0000FF"/>
        </w:rPr>
        <w:tab/>
      </w:r>
      <w:hyperlink r:id="rId69">
        <w:r>
          <w:rPr>
            <w:rFonts w:ascii="Arial" w:cs="Arial" w:eastAsia="Arial" w:hAnsi="Arial"/>
            <w:sz w:val="18"/>
            <w:szCs w:val="18"/>
            <w:u w:val="single" w:color="auto"/>
            <w:color w:val="0000FF"/>
          </w:rPr>
          <w:t>Articles Supplementary of the Company (election to be subject to Section 3-803 of the Maryland General Corporation Law) (incorporated by</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reference as an exhibit to the Company’s Current Report on Form 8-K, event date March 17, 2015).</w:t>
        </w:r>
      </w:hyperlink>
    </w:p>
    <w:p>
      <w:pPr>
        <w:spacing w:after="0" w:line="16" w:lineRule="exact"/>
        <w:rPr>
          <w:rFonts w:ascii="Arial" w:cs="Arial" w:eastAsia="Arial" w:hAnsi="Arial"/>
          <w:sz w:val="18"/>
          <w:szCs w:val="18"/>
          <w:u w:val="single" w:color="auto"/>
          <w:color w:val="0000FF"/>
        </w:rPr>
      </w:pPr>
    </w:p>
    <w:p>
      <w:pPr>
        <w:ind w:left="1160" w:right="100" w:hanging="584"/>
        <w:spacing w:after="0" w:line="227" w:lineRule="auto"/>
        <w:tabs>
          <w:tab w:leader="none" w:pos="1140" w:val="left"/>
        </w:tabs>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3.1.10</w:t>
        </w:r>
      </w:hyperlink>
      <w:r>
        <w:rPr>
          <w:rFonts w:ascii="Arial" w:cs="Arial" w:eastAsia="Arial" w:hAnsi="Arial"/>
          <w:sz w:val="18"/>
          <w:szCs w:val="18"/>
          <w:u w:val="single" w:color="auto"/>
          <w:color w:val="0000FF"/>
        </w:rPr>
        <w:tab/>
      </w:r>
      <w:hyperlink r:id="rId70">
        <w:r>
          <w:rPr>
            <w:rFonts w:ascii="Arial" w:cs="Arial" w:eastAsia="Arial" w:hAnsi="Arial"/>
            <w:sz w:val="18"/>
            <w:szCs w:val="18"/>
            <w:u w:val="single" w:color="auto"/>
            <w:color w:val="0000FF"/>
          </w:rPr>
          <w:t>Articles Supplementary of the Company (Series E Preferred Stock) (incorporated by reference as an exhibit to the Company’s Current Report</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on Form 8-K, event date March 18, 2015).</w:t>
        </w:r>
      </w:hyperlink>
    </w:p>
    <w:p>
      <w:pPr>
        <w:spacing w:after="0" w:line="3" w:lineRule="exact"/>
        <w:rPr>
          <w:rFonts w:ascii="Arial" w:cs="Arial" w:eastAsia="Arial" w:hAnsi="Arial"/>
          <w:sz w:val="18"/>
          <w:szCs w:val="18"/>
          <w:u w:val="single" w:color="auto"/>
          <w:color w:val="0000FF"/>
        </w:rPr>
      </w:pPr>
    </w:p>
    <w:p>
      <w:pPr>
        <w:ind w:left="1160" w:right="400" w:hanging="577"/>
        <w:spacing w:after="0" w:line="235" w:lineRule="auto"/>
        <w:tabs>
          <w:tab w:leader="none" w:pos="1140" w:val="left"/>
        </w:tabs>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3.1.11</w:t>
        </w:r>
      </w:hyperlink>
      <w:r>
        <w:rPr>
          <w:rFonts w:ascii="Arial" w:cs="Arial" w:eastAsia="Arial" w:hAnsi="Arial"/>
          <w:sz w:val="18"/>
          <w:szCs w:val="18"/>
          <w:u w:val="single" w:color="auto"/>
          <w:color w:val="0000FF"/>
        </w:rPr>
        <w:tab/>
      </w:r>
      <w:hyperlink r:id="rId71">
        <w:r>
          <w:rPr>
            <w:rFonts w:ascii="Arial" w:cs="Arial" w:eastAsia="Arial" w:hAnsi="Arial"/>
            <w:sz w:val="18"/>
            <w:szCs w:val="18"/>
            <w:u w:val="single" w:color="auto"/>
            <w:color w:val="0000FF"/>
          </w:rPr>
          <w:t>Articles Supplementary of the Company (reclassification of Series E Preferred Stock to Preferred Stock) (incorporated by reference as an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exhibit to the Company’s Current Report on Form 8-K, event date May 7, 2015).</w:t>
        </w:r>
      </w:hyperlink>
    </w:p>
    <w:p>
      <w:pPr>
        <w:spacing w:after="0" w:line="2" w:lineRule="exact"/>
        <w:rPr>
          <w:rFonts w:ascii="Arial" w:cs="Arial" w:eastAsia="Arial" w:hAnsi="Arial"/>
          <w:sz w:val="18"/>
          <w:szCs w:val="18"/>
          <w:u w:val="single" w:color="auto"/>
          <w:color w:val="0000FF"/>
        </w:rPr>
      </w:pPr>
    </w:p>
    <w:p>
      <w:pPr>
        <w:ind w:left="1160" w:right="680" w:hanging="584"/>
        <w:spacing w:after="0" w:line="257" w:lineRule="auto"/>
        <w:tabs>
          <w:tab w:leader="none" w:pos="1140" w:val="left"/>
        </w:tabs>
        <w:rPr>
          <w:rFonts w:ascii="Arial" w:cs="Arial" w:eastAsia="Arial" w:hAnsi="Arial"/>
          <w:sz w:val="16"/>
          <w:szCs w:val="16"/>
          <w:u w:val="single" w:color="auto"/>
          <w:color w:val="0000FF"/>
        </w:rPr>
      </w:pPr>
      <w:hyperlink r:id="rId72">
        <w:r>
          <w:rPr>
            <w:rFonts w:ascii="Arial" w:cs="Arial" w:eastAsia="Arial" w:hAnsi="Arial"/>
            <w:sz w:val="18"/>
            <w:szCs w:val="18"/>
            <w:u w:val="single" w:color="auto"/>
            <w:color w:val="0000FF"/>
          </w:rPr>
          <w:t>3.1.12</w:t>
        </w:r>
      </w:hyperlink>
      <w:r>
        <w:rPr>
          <w:rFonts w:ascii="Arial" w:cs="Arial" w:eastAsia="Arial" w:hAnsi="Arial"/>
          <w:sz w:val="18"/>
          <w:szCs w:val="18"/>
          <w:u w:val="single" w:color="auto"/>
          <w:color w:val="0000FF"/>
        </w:rPr>
        <w:tab/>
      </w:r>
      <w:hyperlink r:id="rId72">
        <w:r>
          <w:rPr>
            <w:rFonts w:ascii="Arial" w:cs="Arial" w:eastAsia="Arial" w:hAnsi="Arial"/>
            <w:sz w:val="16"/>
            <w:szCs w:val="16"/>
            <w:u w:val="single" w:color="auto"/>
            <w:color w:val="0000FF"/>
          </w:rPr>
          <w:t>Articles Supplementary of the Company (repeal of election to be subject to Section 3-803 of the Maryland General Corporation Law)</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(incorporated by reference as an exhibit to the Company’s Current Report on Form 8-K, event date May 28, 2015).</w:t>
        </w:r>
      </w:hyperlink>
    </w:p>
    <w:p>
      <w:pPr>
        <w:ind w:left="1160" w:right="340" w:hanging="584"/>
        <w:spacing w:after="0" w:line="265" w:lineRule="auto"/>
        <w:tabs>
          <w:tab w:leader="none" w:pos="1140" w:val="left"/>
        </w:tabs>
        <w:rPr>
          <w:rFonts w:ascii="Arial" w:cs="Arial" w:eastAsia="Arial" w:hAnsi="Arial"/>
          <w:sz w:val="16"/>
          <w:szCs w:val="16"/>
          <w:u w:val="single" w:color="auto"/>
          <w:color w:val="0000FF"/>
        </w:rPr>
      </w:pPr>
      <w:hyperlink r:id="rId73">
        <w:r>
          <w:rPr>
            <w:rFonts w:ascii="Arial" w:cs="Arial" w:eastAsia="Arial" w:hAnsi="Arial"/>
            <w:sz w:val="18"/>
            <w:szCs w:val="18"/>
            <w:u w:val="single" w:color="auto"/>
            <w:color w:val="0000FF"/>
          </w:rPr>
          <w:t>3.1.13</w:t>
        </w:r>
      </w:hyperlink>
      <w:r>
        <w:rPr>
          <w:rFonts w:ascii="Arial" w:cs="Arial" w:eastAsia="Arial" w:hAnsi="Arial"/>
          <w:sz w:val="18"/>
          <w:szCs w:val="18"/>
          <w:u w:val="single" w:color="auto"/>
          <w:color w:val="0000FF"/>
        </w:rPr>
        <w:tab/>
      </w:r>
      <w:hyperlink r:id="rId73">
        <w:r>
          <w:rPr>
            <w:rFonts w:ascii="Arial" w:cs="Arial" w:eastAsia="Arial" w:hAnsi="Arial"/>
            <w:sz w:val="16"/>
            <w:szCs w:val="16"/>
            <w:u w:val="single" w:color="auto"/>
            <w:color w:val="0000FF"/>
          </w:rPr>
          <w:t>Articles Supplementary of the Company (opting out of provisions of Subtitle 8 of Title 3 of the Maryland General Corporate Law (MUTA</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provisions)) (incorporated by reference as an exhibit to the Company’s Current Report on Form 8-K, event date April 24, 2019).</w:t>
        </w:r>
      </w:hyperlink>
    </w:p>
    <w:p>
      <w:pPr>
        <w:spacing w:after="0" w:line="1" w:lineRule="exact"/>
        <w:rPr>
          <w:rFonts w:ascii="Arial" w:cs="Arial" w:eastAsia="Arial" w:hAnsi="Arial"/>
          <w:sz w:val="18"/>
          <w:szCs w:val="18"/>
          <w:u w:val="single" w:color="auto"/>
          <w:color w:val="0000FF"/>
        </w:rPr>
      </w:pPr>
    </w:p>
    <w:p>
      <w:pPr>
        <w:ind w:left="1160" w:right="500" w:hanging="584"/>
        <w:spacing w:after="0" w:line="227" w:lineRule="auto"/>
        <w:tabs>
          <w:tab w:leader="none" w:pos="1140" w:val="left"/>
        </w:tabs>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3.1.14</w:t>
        </w:r>
      </w:hyperlink>
      <w:r>
        <w:rPr>
          <w:rFonts w:ascii="Arial" w:cs="Arial" w:eastAsia="Arial" w:hAnsi="Arial"/>
          <w:sz w:val="18"/>
          <w:szCs w:val="18"/>
          <w:u w:val="single" w:color="auto"/>
          <w:color w:val="0000FF"/>
        </w:rPr>
        <w:tab/>
      </w:r>
      <w:hyperlink r:id="rId74">
        <w:r>
          <w:rPr>
            <w:rFonts w:ascii="Arial" w:cs="Arial" w:eastAsia="Arial" w:hAnsi="Arial"/>
            <w:sz w:val="18"/>
            <w:szCs w:val="18"/>
            <w:u w:val="single" w:color="auto"/>
            <w:color w:val="0000FF"/>
          </w:rPr>
          <w:t>Articles of Amendment of the Company (increased authorized shares) (incorporated by reference as an exhibit to the Company's current</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Report on Form 8-K, event date May 28, 2021).</w:t>
        </w:r>
      </w:hyperlink>
    </w:p>
    <w:p>
      <w:pPr>
        <w:spacing w:after="0" w:line="16" w:lineRule="exact"/>
        <w:rPr>
          <w:rFonts w:ascii="Arial" w:cs="Arial" w:eastAsia="Arial" w:hAnsi="Arial"/>
          <w:sz w:val="18"/>
          <w:szCs w:val="18"/>
          <w:u w:val="single" w:color="auto"/>
          <w:color w:val="0000FF"/>
        </w:rPr>
      </w:pPr>
    </w:p>
    <w:p>
      <w:pPr>
        <w:ind w:left="1160" w:right="40" w:hanging="365"/>
        <w:spacing w:after="0" w:line="227" w:lineRule="auto"/>
        <w:tabs>
          <w:tab w:leader="none" w:pos="1140" w:val="left"/>
        </w:tabs>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75">
        <w:r>
          <w:rPr>
            <w:rFonts w:ascii="Arial" w:cs="Arial" w:eastAsia="Arial" w:hAnsi="Arial"/>
            <w:sz w:val="18"/>
            <w:szCs w:val="18"/>
            <w:u w:val="single" w:color="auto"/>
            <w:color w:val="0000FF"/>
          </w:rPr>
          <w:t>Amended and Restated Bylaws of the Company (incorporated by reference as an exhibit to the Company's Current Report on Form 8-K, event</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date January 26, 2023).</w:t>
        </w:r>
      </w:hyperlink>
    </w:p>
    <w:p>
      <w:pPr>
        <w:spacing w:after="0" w:line="3" w:lineRule="exact"/>
        <w:rPr>
          <w:rFonts w:ascii="Arial" w:cs="Arial" w:eastAsia="Arial" w:hAnsi="Arial"/>
          <w:sz w:val="18"/>
          <w:szCs w:val="18"/>
          <w:u w:val="single" w:color="auto"/>
          <w:color w:val="0000FF"/>
        </w:rPr>
      </w:pPr>
    </w:p>
    <w:p>
      <w:pPr>
        <w:ind w:left="1160" w:right="620" w:hanging="551"/>
        <w:spacing w:after="0" w:line="235" w:lineRule="auto"/>
        <w:tabs>
          <w:tab w:leader="none" w:pos="1140" w:val="left"/>
        </w:tabs>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76">
        <w:r>
          <w:rPr>
            <w:rFonts w:ascii="Arial" w:cs="Arial" w:eastAsia="Arial" w:hAnsi="Arial"/>
            <w:sz w:val="18"/>
            <w:szCs w:val="18"/>
            <w:u w:val="single" w:color="auto"/>
            <w:color w:val="0000FF"/>
          </w:rPr>
          <w:t>The Macerich 2003 Equity Incentive Plan, as amended and restated as of May 31, 2023 (incorporated by reference as an exhibit to the</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Company's Current Report on Form 8-K, event date May 31, 2023).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8"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8"/>
              </w:rPr>
              <w:t>Table of Contents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9"/>
        </w:trPr>
        <w:tc>
          <w:tcPr>
            <w:tcW w:w="10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20" w:type="dxa"/>
            <w:vAlign w:val="bottom"/>
            <w:gridSpan w:val="4"/>
            <w:vMerge w:val="restart"/>
          </w:tcPr>
          <w:p>
            <w:pPr>
              <w:ind w:left="38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3"/>
        </w:trPr>
        <w:tc>
          <w:tcPr>
            <w:tcW w:w="10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 w:type="dxa"/>
            <w:vAlign w:val="bottom"/>
            <w:gridSpan w:val="2"/>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p>
        </w:tc>
        <w:tc>
          <w:tcPr>
            <w:tcW w:w="980" w:type="dxa"/>
            <w:vAlign w:val="bottom"/>
            <w:gridSpan w:val="2"/>
          </w:tcPr>
          <w:p>
            <w:pPr>
              <w:ind w:left="140"/>
              <w:spacing w:after="0" w:line="195" w:lineRule="exact"/>
              <w:rPr>
                <w:sz w:val="20"/>
                <w:szCs w:val="20"/>
                <w:color w:val="auto"/>
              </w:rPr>
            </w:pPr>
            <w:r>
              <w:rPr>
                <w:rFonts w:ascii="Arial" w:cs="Arial" w:eastAsia="Arial" w:hAnsi="Arial"/>
                <w:sz w:val="18"/>
                <w:szCs w:val="18"/>
                <w:color w:val="0000FF"/>
                <w:w w:val="86"/>
              </w:rPr>
              <w:t>Section 302</w:t>
            </w:r>
          </w:p>
        </w:tc>
        <w:tc>
          <w:tcPr>
            <w:tcW w:w="4520" w:type="dxa"/>
            <w:vAlign w:val="bottom"/>
            <w:gridSpan w:val="4"/>
          </w:tcPr>
          <w:p>
            <w:pPr>
              <w:ind w:left="40"/>
              <w:spacing w:after="0" w:line="195" w:lineRule="exact"/>
              <w:rPr>
                <w:sz w:val="20"/>
                <w:szCs w:val="20"/>
                <w:color w:val="auto"/>
              </w:rPr>
            </w:pPr>
            <w:r>
              <w:rPr>
                <w:rFonts w:ascii="Arial" w:cs="Arial" w:eastAsia="Arial" w:hAnsi="Arial"/>
                <w:sz w:val="18"/>
                <w:szCs w:val="18"/>
                <w:color w:val="0000FF"/>
              </w:rPr>
              <w:t>Certification of Thomas O'Hern, Chief Executive Officer</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p>
        </w:tc>
        <w:tc>
          <w:tcPr>
            <w:tcW w:w="980" w:type="dxa"/>
            <w:vAlign w:val="bottom"/>
            <w:gridSpan w:val="2"/>
          </w:tcPr>
          <w:p>
            <w:pPr>
              <w:ind w:left="140"/>
              <w:spacing w:after="0"/>
              <w:rPr>
                <w:sz w:val="20"/>
                <w:szCs w:val="20"/>
                <w:color w:val="auto"/>
              </w:rPr>
            </w:pPr>
            <w:r>
              <w:rPr>
                <w:rFonts w:ascii="Arial" w:cs="Arial" w:eastAsia="Arial" w:hAnsi="Arial"/>
                <w:sz w:val="18"/>
                <w:szCs w:val="18"/>
                <w:color w:val="0000FF"/>
                <w:w w:val="86"/>
              </w:rPr>
              <w:t>Section 302</w:t>
            </w:r>
          </w:p>
        </w:tc>
        <w:tc>
          <w:tcPr>
            <w:tcW w:w="4520" w:type="dxa"/>
            <w:vAlign w:val="bottom"/>
            <w:gridSpan w:val="4"/>
          </w:tcPr>
          <w:p>
            <w:pPr>
              <w:ind w:left="40"/>
              <w:spacing w:after="0"/>
              <w:rPr>
                <w:sz w:val="20"/>
                <w:szCs w:val="20"/>
                <w:color w:val="auto"/>
              </w:rPr>
            </w:pPr>
            <w:r>
              <w:rPr>
                <w:rFonts w:ascii="Arial" w:cs="Arial" w:eastAsia="Arial" w:hAnsi="Arial"/>
                <w:sz w:val="18"/>
                <w:szCs w:val="18"/>
                <w:color w:val="0000FF"/>
              </w:rPr>
              <w:t>Certification of Scott Kingsmore, Chief Financial Officer</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gridSpan w:val="3"/>
          </w:tcPr>
          <w:p>
            <w:pPr>
              <w:jc w:val="right"/>
              <w:spacing w:after="0" w:line="203"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980" w:type="dxa"/>
            <w:vAlign w:val="bottom"/>
            <w:gridSpan w:val="2"/>
          </w:tcPr>
          <w:p>
            <w:pPr>
              <w:ind w:left="140"/>
              <w:spacing w:after="0" w:line="203" w:lineRule="exact"/>
              <w:rPr>
                <w:sz w:val="20"/>
                <w:szCs w:val="20"/>
                <w:color w:val="auto"/>
              </w:rPr>
            </w:pPr>
            <w:r>
              <w:rPr>
                <w:rFonts w:ascii="Arial" w:cs="Arial" w:eastAsia="Arial" w:hAnsi="Arial"/>
                <w:sz w:val="18"/>
                <w:szCs w:val="18"/>
                <w:color w:val="0000FF"/>
                <w:w w:val="86"/>
              </w:rPr>
              <w:t>Section 906</w:t>
            </w:r>
          </w:p>
        </w:tc>
        <w:tc>
          <w:tcPr>
            <w:tcW w:w="4520" w:type="dxa"/>
            <w:vAlign w:val="bottom"/>
            <w:gridSpan w:val="4"/>
          </w:tcPr>
          <w:p>
            <w:pPr>
              <w:ind w:left="40"/>
              <w:spacing w:after="0" w:line="203" w:lineRule="exact"/>
              <w:rPr>
                <w:sz w:val="20"/>
                <w:szCs w:val="20"/>
                <w:color w:val="auto"/>
              </w:rPr>
            </w:pPr>
            <w:r>
              <w:rPr>
                <w:rFonts w:ascii="Arial" w:cs="Arial" w:eastAsia="Arial" w:hAnsi="Arial"/>
                <w:sz w:val="18"/>
                <w:szCs w:val="18"/>
                <w:color w:val="0000FF"/>
              </w:rPr>
              <w:t>Certifications of Thomas O'Hern and Scott Kingsmore</w:t>
            </w: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101.SCH</w:t>
            </w:r>
          </w:p>
        </w:tc>
        <w:tc>
          <w:tcPr>
            <w:tcW w:w="5500" w:type="dxa"/>
            <w:vAlign w:val="bottom"/>
            <w:gridSpan w:val="6"/>
          </w:tcPr>
          <w:p>
            <w:pPr>
              <w:ind w:left="14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7"/>
        </w:trPr>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101.CAL</w:t>
            </w:r>
          </w:p>
        </w:tc>
        <w:tc>
          <w:tcPr>
            <w:tcW w:w="5500" w:type="dxa"/>
            <w:vAlign w:val="bottom"/>
            <w:gridSpan w:val="6"/>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101.LAB</w:t>
            </w:r>
          </w:p>
        </w:tc>
        <w:tc>
          <w:tcPr>
            <w:tcW w:w="5500" w:type="dxa"/>
            <w:vAlign w:val="bottom"/>
            <w:gridSpan w:val="6"/>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101.PRE</w:t>
            </w:r>
          </w:p>
        </w:tc>
        <w:tc>
          <w:tcPr>
            <w:tcW w:w="5500" w:type="dxa"/>
            <w:vAlign w:val="bottom"/>
            <w:gridSpan w:val="6"/>
          </w:tcPr>
          <w:p>
            <w:pPr>
              <w:ind w:left="140"/>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0" w:type="dxa"/>
            <w:vAlign w:val="bottom"/>
          </w:tcPr>
          <w:p>
            <w:pPr>
              <w:spacing w:after="0"/>
              <w:rPr>
                <w:sz w:val="1"/>
                <w:szCs w:val="1"/>
                <w:color w:val="auto"/>
              </w:rPr>
            </w:pPr>
          </w:p>
        </w:tc>
      </w:tr>
      <w:tr>
        <w:trPr>
          <w:trHeight w:val="237"/>
        </w:trPr>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101.DEF</w:t>
            </w:r>
          </w:p>
        </w:tc>
        <w:tc>
          <w:tcPr>
            <w:tcW w:w="5500" w:type="dxa"/>
            <w:vAlign w:val="bottom"/>
            <w:gridSpan w:val="6"/>
          </w:tcPr>
          <w:p>
            <w:pPr>
              <w:ind w:left="14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160" w:hanging="413"/>
        <w:spacing w:after="0"/>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140" w:hanging="135"/>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contract or arrangement required to be filed pursuant to Regulation 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320" w:top="110" w:right="67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41" w:lineRule="exact"/>
        <w:rPr>
          <w:sz w:val="20"/>
          <w:szCs w:val="20"/>
          <w:color w:val="auto"/>
        </w:rPr>
      </w:pPr>
    </w:p>
    <w:p>
      <w:pPr>
        <w:ind w:right="480"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MACERICH COMPANY</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200" w:type="dxa"/>
            <w:vAlign w:val="bottom"/>
          </w:tcPr>
          <w:p>
            <w:pPr>
              <w:ind w:left="47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W. KINGSMORE</w:t>
            </w:r>
          </w:p>
        </w:tc>
      </w:tr>
      <w:tr>
        <w:trPr>
          <w:trHeight w:val="216"/>
        </w:trPr>
        <w:tc>
          <w:tcPr>
            <w:tcW w:w="52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Scott W. Kingsmore</w:t>
            </w:r>
          </w:p>
        </w:tc>
      </w:tr>
      <w:tr>
        <w:trPr>
          <w:trHeight w:val="223"/>
        </w:trPr>
        <w:tc>
          <w:tcPr>
            <w:tcW w:w="52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88"/>
              </w:rPr>
              <w:t>Senior Executive Vice President, Treasurer and Chief Financial Officer</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Date:   August 9, 2023</w:t>
            </w: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320" w:top="122" w:right="6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148" w:lineRule="exact"/>
        <w:rPr>
          <w:sz w:val="20"/>
          <w:szCs w:val="20"/>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June 30, 2023 of The Macerich Company;</w:t>
      </w:r>
    </w:p>
    <w:p>
      <w:pPr>
        <w:spacing w:after="0" w:line="147" w:lineRule="exact"/>
        <w:rPr>
          <w:rFonts w:ascii="Arial" w:cs="Arial" w:eastAsia="Arial" w:hAnsi="Arial"/>
          <w:sz w:val="18"/>
          <w:szCs w:val="18"/>
          <w:color w:val="auto"/>
        </w:rPr>
      </w:pPr>
    </w:p>
    <w:p>
      <w:pPr>
        <w:jc w:val="both"/>
        <w:ind w:left="640" w:right="420" w:hanging="319"/>
        <w:spacing w:after="0" w:line="25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8"/>
          <w:szCs w:val="18"/>
          <w:color w:val="auto"/>
        </w:rPr>
      </w:pPr>
    </w:p>
    <w:p>
      <w:pPr>
        <w:ind w:left="640" w:right="380" w:hanging="319"/>
        <w:spacing w:after="0" w:line="32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6"/>
          <w:szCs w:val="16"/>
          <w:color w:val="auto"/>
        </w:rPr>
      </w:pPr>
    </w:p>
    <w:p>
      <w:pPr>
        <w:ind w:left="640" w:right="20" w:hanging="319"/>
        <w:spacing w:after="0" w:line="25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ind w:left="960" w:right="340" w:hanging="324"/>
        <w:spacing w:after="0" w:line="252"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8"/>
          <w:szCs w:val="18"/>
          <w:color w:val="auto"/>
        </w:rPr>
      </w:pPr>
    </w:p>
    <w:p>
      <w:pPr>
        <w:ind w:left="960" w:right="40" w:hanging="324"/>
        <w:spacing w:after="0" w:line="252"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8"/>
          <w:szCs w:val="18"/>
          <w:color w:val="auto"/>
        </w:rPr>
      </w:pPr>
    </w:p>
    <w:p>
      <w:pPr>
        <w:jc w:val="both"/>
        <w:ind w:left="960" w:right="820" w:hanging="324"/>
        <w:spacing w:after="0" w:line="361" w:lineRule="auto"/>
        <w:tabs>
          <w:tab w:leader="none" w:pos="96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ind w:left="960" w:right="80" w:hanging="324"/>
        <w:spacing w:after="0" w:line="252"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8"/>
          <w:szCs w:val="18"/>
          <w:color w:val="auto"/>
        </w:rPr>
      </w:pPr>
    </w:p>
    <w:p>
      <w:pPr>
        <w:ind w:left="640" w:right="140" w:hanging="319"/>
        <w:spacing w:after="0" w:line="32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6"/>
          <w:szCs w:val="16"/>
          <w:color w:val="auto"/>
        </w:rPr>
      </w:pPr>
    </w:p>
    <w:p>
      <w:pPr>
        <w:ind w:left="960" w:right="260" w:hanging="324"/>
        <w:spacing w:after="0" w:line="324" w:lineRule="auto"/>
        <w:tabs>
          <w:tab w:leader="none" w:pos="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6"/>
          <w:szCs w:val="16"/>
          <w:color w:val="auto"/>
        </w:rPr>
      </w:pPr>
    </w:p>
    <w:p>
      <w:pPr>
        <w:ind w:left="960" w:right="240" w:hanging="324"/>
        <w:spacing w:after="0" w:line="261"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10160</wp:posOffset>
            </wp:positionV>
            <wp:extent cx="28124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2812415" cy="8255"/>
                    </a:xfrm>
                    <a:prstGeom prst="rect">
                      <a:avLst/>
                    </a:prstGeom>
                    <a:noFill/>
                  </pic:spPr>
                </pic:pic>
              </a:graphicData>
            </a:graphic>
          </wp:anchor>
        </w:drawing>
      </w:r>
    </w:p>
    <w:p>
      <w:pPr>
        <w:spacing w:after="0" w:line="10" w:lineRule="exact"/>
        <w:rPr>
          <w:sz w:val="20"/>
          <w:szCs w:val="20"/>
          <w:color w:val="auto"/>
        </w:rPr>
      </w:pPr>
    </w:p>
    <w:p>
      <w:pPr>
        <w:ind w:left="960"/>
        <w:spacing w:after="0"/>
        <w:tabs>
          <w:tab w:leader="none" w:pos="174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r>
        <w:rPr>
          <w:sz w:val="20"/>
          <w:szCs w:val="20"/>
          <w:color w:val="auto"/>
        </w:rPr>
        <w:tab/>
      </w:r>
      <w:r>
        <w:rPr>
          <w:rFonts w:ascii="Arial" w:cs="Arial" w:eastAsia="Arial" w:hAnsi="Arial"/>
          <w:sz w:val="16"/>
          <w:szCs w:val="16"/>
          <w:i w:val="1"/>
          <w:iCs w:val="1"/>
          <w:color w:val="auto"/>
        </w:rPr>
        <w:t>Chief Executive Officer</w:t>
      </w:r>
    </w:p>
    <w:p>
      <w:pPr>
        <w:sectPr>
          <w:pgSz w:w="11900" w:h="16838" w:orient="portrait"/>
          <w:cols w:equalWidth="0" w:num="1">
            <w:col w:w="11240"/>
          </w:cols>
          <w:pgMar w:left="320" w:top="96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 Scott W. Kingsmore, certify that:</w:t>
      </w:r>
    </w:p>
    <w:p>
      <w:pPr>
        <w:spacing w:after="0" w:line="148" w:lineRule="exact"/>
        <w:rPr>
          <w:sz w:val="20"/>
          <w:szCs w:val="20"/>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June 30, 2023 of The Macerich Company;</w:t>
      </w:r>
    </w:p>
    <w:p>
      <w:pPr>
        <w:spacing w:after="0" w:line="147" w:lineRule="exact"/>
        <w:rPr>
          <w:rFonts w:ascii="Arial" w:cs="Arial" w:eastAsia="Arial" w:hAnsi="Arial"/>
          <w:sz w:val="18"/>
          <w:szCs w:val="18"/>
          <w:color w:val="auto"/>
        </w:rPr>
      </w:pPr>
    </w:p>
    <w:p>
      <w:pPr>
        <w:jc w:val="both"/>
        <w:ind w:left="640" w:right="420" w:hanging="319"/>
        <w:spacing w:after="0" w:line="25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8"/>
          <w:szCs w:val="18"/>
          <w:color w:val="auto"/>
        </w:rPr>
      </w:pPr>
    </w:p>
    <w:p>
      <w:pPr>
        <w:ind w:left="640" w:right="380" w:hanging="319"/>
        <w:spacing w:after="0" w:line="324"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6"/>
          <w:szCs w:val="16"/>
          <w:color w:val="auto"/>
        </w:rPr>
      </w:pPr>
    </w:p>
    <w:p>
      <w:pPr>
        <w:ind w:left="640" w:right="20" w:hanging="319"/>
        <w:spacing w:after="0" w:line="25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ind w:left="960" w:right="340" w:hanging="324"/>
        <w:spacing w:after="0" w:line="252"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8"/>
          <w:szCs w:val="18"/>
          <w:color w:val="auto"/>
        </w:rPr>
      </w:pPr>
    </w:p>
    <w:p>
      <w:pPr>
        <w:ind w:left="960" w:right="40" w:hanging="324"/>
        <w:spacing w:after="0" w:line="252"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8"/>
          <w:szCs w:val="18"/>
          <w:color w:val="auto"/>
        </w:rPr>
      </w:pPr>
    </w:p>
    <w:p>
      <w:pPr>
        <w:jc w:val="both"/>
        <w:ind w:left="960" w:right="820" w:hanging="324"/>
        <w:spacing w:after="0" w:line="361" w:lineRule="auto"/>
        <w:tabs>
          <w:tab w:leader="none" w:pos="96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ind w:left="960" w:right="80" w:hanging="324"/>
        <w:spacing w:after="0" w:line="252"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8"/>
          <w:szCs w:val="18"/>
          <w:color w:val="auto"/>
        </w:rPr>
      </w:pPr>
    </w:p>
    <w:p>
      <w:pPr>
        <w:ind w:left="640" w:right="140" w:hanging="319"/>
        <w:spacing w:after="0" w:line="324"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6"/>
          <w:szCs w:val="16"/>
          <w:color w:val="auto"/>
        </w:rPr>
      </w:pPr>
    </w:p>
    <w:p>
      <w:pPr>
        <w:ind w:left="960" w:right="260" w:hanging="324"/>
        <w:spacing w:after="0" w:line="324" w:lineRule="auto"/>
        <w:tabs>
          <w:tab w:leader="none" w:pos="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6"/>
          <w:szCs w:val="16"/>
          <w:color w:val="auto"/>
        </w:rPr>
      </w:pPr>
    </w:p>
    <w:p>
      <w:pPr>
        <w:ind w:left="960" w:right="240" w:hanging="324"/>
        <w:spacing w:after="0" w:line="261"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10160</wp:posOffset>
            </wp:positionV>
            <wp:extent cx="31883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10" w:lineRule="exact"/>
        <w:rPr>
          <w:sz w:val="20"/>
          <w:szCs w:val="20"/>
          <w:color w:val="auto"/>
        </w:rPr>
      </w:pPr>
    </w:p>
    <w:p>
      <w:pPr>
        <w:ind w:left="960"/>
        <w:spacing w:after="0"/>
        <w:tabs>
          <w:tab w:leader="none" w:pos="174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r>
        <w:rPr>
          <w:sz w:val="20"/>
          <w:szCs w:val="20"/>
          <w:color w:val="auto"/>
        </w:rPr>
        <w:tab/>
      </w:r>
      <w:r>
        <w:rPr>
          <w:rFonts w:ascii="Arial" w:cs="Arial" w:eastAsia="Arial" w:hAnsi="Arial"/>
          <w:sz w:val="16"/>
          <w:szCs w:val="16"/>
          <w:i w:val="1"/>
          <w:iCs w:val="1"/>
          <w:color w:val="auto"/>
        </w:rPr>
        <w:t>Senior Executive Vice President and Chief Financial Officer</w:t>
      </w:r>
    </w:p>
    <w:p>
      <w:pPr>
        <w:sectPr>
          <w:pgSz w:w="11900" w:h="16838" w:orient="portrait"/>
          <w:cols w:equalWidth="0" w:num="1">
            <w:col w:w="11240"/>
          </w:cols>
          <w:pgMar w:left="320" w:top="96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1" w:lineRule="exact"/>
        <w:rPr>
          <w:sz w:val="20"/>
          <w:szCs w:val="20"/>
          <w:color w:val="auto"/>
        </w:rPr>
      </w:pPr>
    </w:p>
    <w:p>
      <w:pPr>
        <w:ind w:right="440" w:firstLine="315"/>
        <w:spacing w:after="0" w:line="261" w:lineRule="auto"/>
        <w:rPr>
          <w:sz w:val="20"/>
          <w:szCs w:val="20"/>
          <w:color w:val="auto"/>
        </w:rPr>
      </w:pPr>
      <w:r>
        <w:rPr>
          <w:rFonts w:ascii="Arial" w:cs="Arial" w:eastAsia="Arial" w:hAnsi="Arial"/>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49" w:lineRule="exact"/>
        <w:rPr>
          <w:sz w:val="20"/>
          <w:szCs w:val="20"/>
          <w:color w:val="auto"/>
        </w:rPr>
      </w:pPr>
    </w:p>
    <w:p>
      <w:pPr>
        <w:ind w:left="960" w:right="240" w:hanging="324"/>
        <w:spacing w:after="0" w:line="261"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2023 of the Company (the "Report") fully complies with the requirements of Section 13(a) and 15(d) of the Securities Exchange Act of 1934, as amended; and</w:t>
      </w:r>
    </w:p>
    <w:p>
      <w:pPr>
        <w:spacing w:after="0" w:line="62"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18415</wp:posOffset>
            </wp:positionV>
            <wp:extent cx="35718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10160</wp:posOffset>
            </wp:positionV>
            <wp:extent cx="3571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Executive Vice President and Chief Financial Officer</w:t>
      </w:r>
    </w:p>
    <w:sectPr>
      <w:pgSz w:w="11900" w:h="16838" w:orient="portrait"/>
      <w:cols w:equalWidth="0" w:num="1">
        <w:col w:w="11240"/>
      </w:cols>
      <w:pgMar w:left="32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lvl w:ilvl="1">
      <w:lvlJc w:val="left"/>
      <w:lvlText w:val="(%2)"/>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lvl w:ilvl="1">
      <w:lvlJc w:val="left"/>
      <w:lvlText w:val="(%2)"/>
      <w:numFmt w:val="decimal"/>
      <w:start w:val="1"/>
    </w:lvl>
  </w:abstractNum>
  <w:abstractNum w:abstractNumId="7">
    <w:nsid w:val="1BEFD79F"/>
    <w:multiLevelType w:val="hybridMultilevel"/>
    <w:lvl w:ilvl="0">
      <w:lvlJc w:val="left"/>
      <w:lvlText w:val="%1."/>
      <w:numFmt w:val="decimal"/>
      <w:start w:val="7"/>
    </w:lvl>
    <w:lvl w:ilvl="1">
      <w:lvlJc w:val="left"/>
      <w:lvlText w:val="%2"/>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lvl w:ilvl="1">
      <w:lvlJc w:val="left"/>
      <w:lvlText w:val="%2"/>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61" Type="http://schemas.openxmlformats.org/officeDocument/2006/relationships/hyperlink" Target="http://www.sec.gov/Archives/edgar/data/912242/000110465914081468/a14-24669_1ex2d1.htm" TargetMode="External"/><Relationship Id="rId62" Type="http://schemas.openxmlformats.org/officeDocument/2006/relationships/hyperlink" Target="http://www.sec.gov/Archives/edgar/data/912242/0001047469-99-012492.txt" TargetMode="External"/><Relationship Id="rId63" Type="http://schemas.openxmlformats.org/officeDocument/2006/relationships/hyperlink" Target="http://www.sec.gov/Archives/edgar/data/912242/000091205702030706/a2086079zex-3_1.htm" TargetMode="External"/><Relationship Id="rId64" Type="http://schemas.openxmlformats.org/officeDocument/2006/relationships/hyperlink" Target="http://www.sec.gov/Archives/edgar/data/912242/000091205702021417/a2080342zex-4_6.htm" TargetMode="External"/><Relationship Id="rId65" Type="http://schemas.openxmlformats.org/officeDocument/2006/relationships/hyperlink" Target="http://www.sec.gov/Archives/edgar/data/912242/000104746909001981/a2189901zex-3_15.htm" TargetMode="External"/><Relationship Id="rId66" Type="http://schemas.openxmlformats.org/officeDocument/2006/relationships/hyperlink" Target="http://www.sec.gov/Archives/edgar/data/912242/000110465909008348/a09-5253_1ex3d1.htm" TargetMode="External"/><Relationship Id="rId67" Type="http://schemas.openxmlformats.org/officeDocument/2006/relationships/hyperlink" Target="http://www.sec.gov/Archives/edgar/data/912242/000104746909007391/a2193924zex-3_17.htm" TargetMode="External"/><Relationship Id="rId68" Type="http://schemas.openxmlformats.org/officeDocument/2006/relationships/hyperlink" Target="http://www.sec.gov/Archives/edgar/data/912242/000110465914043330/a14-14485_1ex3d1.htm" TargetMode="External"/><Relationship Id="rId69" Type="http://schemas.openxmlformats.org/officeDocument/2006/relationships/hyperlink" Target="http://www.sec.gov/Archives/edgar/data/912242/000110465915020412/a15-6870_1ex3d1.htm" TargetMode="External"/><Relationship Id="rId70" Type="http://schemas.openxmlformats.org/officeDocument/2006/relationships/hyperlink" Target="http://www.sec.gov/Archives/edgar/data/912242/000110465915020810/a15-6873_1ex3d1.htm" TargetMode="External"/><Relationship Id="rId71" Type="http://schemas.openxmlformats.org/officeDocument/2006/relationships/hyperlink" Target="http://www.sec.gov/Archives/edgar/data/912242/000110465915037228/a15-11185_1ex3d1.htm" TargetMode="External"/><Relationship Id="rId72" Type="http://schemas.openxmlformats.org/officeDocument/2006/relationships/hyperlink" Target="http://www.sec.gov/Archives/edgar/data/912242/000110465915042631/a15-13305_1ex3d1.htm" TargetMode="External"/><Relationship Id="rId73" Type="http://schemas.openxmlformats.org/officeDocument/2006/relationships/hyperlink" Target="http://www.sec.gov/Archives/edgar/data/912242/000119312519129272/d731295dex31.htm" TargetMode="External"/><Relationship Id="rId74" Type="http://schemas.openxmlformats.org/officeDocument/2006/relationships/hyperlink" Target="https://www.sec.gov/Archives/edgar/data/912242/000119312521182973/d417870dex31.htm" TargetMode="External"/><Relationship Id="rId75" Type="http://schemas.openxmlformats.org/officeDocument/2006/relationships/hyperlink" Target="http://www.sec.gov/Archives/edgar/data/912242/000119312519129272/d731295dex32.htm" TargetMode="External"/><Relationship Id="rId76" Type="http://schemas.openxmlformats.org/officeDocument/2006/relationships/hyperlink" Target="https://www.sec.gov/Archives/edgar/data/912242/000119312523160708/d47238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2023-08-09T10:42:18Z</dcterms:created>
  <dcterms:modified xsi:type="dcterms:W3CDTF">2023-08-09T10:42:18Z</dcterms:modified>
</cp:coreProperties>
</file>