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4</w:t>
      </w:r>
    </w:p>
    <w:p>
      <w:pPr>
        <w:spacing w:after="0" w:line="238" w:lineRule="auto"/>
        <w:rPr>
          <w:sz w:val="20"/>
          <w:szCs w:val="20"/>
          <w:color w:val="auto"/>
        </w:rPr>
      </w:pPr>
      <w:r>
        <w:rPr>
          <w:rFonts w:ascii="Courier New" w:cs="Courier New" w:eastAsia="Courier New" w:hAnsi="Courier New"/>
          <w:sz w:val="18"/>
          <w:szCs w:val="18"/>
          <w:color w:val="auto"/>
        </w:rPr>
        <w:t>Macerich Company</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#554382101</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#554382101</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593,509</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13,751,388</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13,751,388</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10.416%</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#554382101</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13,751,388</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13,751,388</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5"/>
              </w:rPr>
              <w:t>10.416%</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Macerich Company</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401 Wilshire Boulevard</w:t>
      </w:r>
    </w:p>
    <w:p>
      <w:pPr>
        <w:ind w:left="1700"/>
        <w:spacing w:after="0" w:line="238" w:lineRule="auto"/>
        <w:rPr>
          <w:sz w:val="20"/>
          <w:szCs w:val="20"/>
          <w:color w:val="auto"/>
        </w:rPr>
      </w:pPr>
      <w:r>
        <w:rPr>
          <w:rFonts w:ascii="Courier New" w:cs="Courier New" w:eastAsia="Courier New" w:hAnsi="Courier New"/>
          <w:sz w:val="18"/>
          <w:szCs w:val="18"/>
          <w:color w:val="auto"/>
        </w:rPr>
        <w:t>Suite 700</w:t>
      </w:r>
    </w:p>
    <w:p>
      <w:pPr>
        <w:ind w:left="1700"/>
        <w:spacing w:after="0"/>
        <w:tabs>
          <w:tab w:leader="none" w:pos="3580" w:val="left"/>
        </w:tabs>
        <w:rPr>
          <w:sz w:val="20"/>
          <w:szCs w:val="20"/>
          <w:color w:val="auto"/>
        </w:rPr>
      </w:pPr>
      <w:r>
        <w:rPr>
          <w:rFonts w:ascii="Courier New" w:cs="Courier New" w:eastAsia="Courier New" w:hAnsi="Courier New"/>
          <w:sz w:val="18"/>
          <w:szCs w:val="18"/>
          <w:color w:val="auto"/>
        </w:rPr>
        <w:t>Santa Monica, CA</w:t>
      </w:r>
      <w:r>
        <w:rPr>
          <w:sz w:val="20"/>
          <w:szCs w:val="20"/>
          <w:color w:val="auto"/>
        </w:rPr>
        <w:tab/>
      </w:r>
      <w:r>
        <w:rPr>
          <w:rFonts w:ascii="Courier New" w:cs="Courier New" w:eastAsia="Courier New" w:hAnsi="Courier New"/>
          <w:sz w:val="16"/>
          <w:szCs w:val="16"/>
          <w:color w:val="auto"/>
        </w:rPr>
        <w:t>90401</w:t>
      </w:r>
    </w:p>
    <w:p>
      <w:pPr>
        <w:spacing w:after="0" w:line="200" w:lineRule="exact"/>
        <w:rPr>
          <w:sz w:val="24"/>
          <w:szCs w:val="24"/>
          <w:color w:val="auto"/>
        </w:rPr>
      </w:pPr>
    </w:p>
    <w:p>
      <w:pPr>
        <w:spacing w:after="0" w:line="203"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554382101</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13,751,388</w:t>
      </w:r>
    </w:p>
    <w:p>
      <w:pPr>
        <w:sectPr>
          <w:pgSz w:w="11900" w:h="16855" w:orient="portrait"/>
          <w:cols w:equalWidth="0" w:num="1">
            <w:col w:w="10219"/>
          </w:cols>
          <w:pgMar w:left="240" w:top="244" w:right="1440" w:bottom="0" w:gutter="0" w:footer="0" w:header="0"/>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10.416%</w:t>
      </w:r>
    </w:p>
    <w:p>
      <w:pPr>
        <w:spacing w:after="0" w:line="207"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593,509</w:t>
      </w:r>
    </w:p>
    <w:p>
      <w:pPr>
        <w:spacing w:after="0" w:line="200" w:lineRule="exact"/>
        <w:rPr>
          <w:sz w:val="20"/>
          <w:szCs w:val="20"/>
          <w:color w:val="auto"/>
        </w:rPr>
      </w:pPr>
    </w:p>
    <w:p>
      <w:pPr>
        <w:sectPr>
          <w:pgSz w:w="11900" w:h="16838" w:orient="portrait"/>
          <w:cols w:equalWidth="0" w:num="2">
            <w:col w:w="1160" w:space="540"/>
            <w:col w:w="8519"/>
          </w:cols>
          <w:pgMar w:left="240" w:top="339"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13,751,388</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Macerich Company. No one person's interest in the Common Stock of Macerich Company</w:t>
      </w:r>
    </w:p>
    <w:p>
      <w:pPr>
        <w:spacing w:after="0" w:line="5"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is more than five percent of the total outstanding Common Stock.</w:t>
      </w:r>
    </w:p>
    <w:p>
      <w:pPr>
        <w:spacing w:after="0" w:line="208"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13, 2012</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 C. Goebel</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339" w:right="1440" w:bottom="0" w:gutter="0" w:footer="0" w:header="0"/>
          <w:type w:val="continuous"/>
        </w:sectPr>
      </w:pPr>
    </w:p>
    <w:bookmarkStart w:id="2" w:name="page3"/>
    <w:bookmarkEnd w:id="2"/>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LLC and an investment adviser registered under Section 203 of the Investment Advisers Act of 1940, is the beneficial owner of 13,157,879 shares 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9.966% of the Common Stock outstanding of Macerich</w:t>
      </w:r>
    </w:p>
    <w:p>
      <w:pPr>
        <w:spacing w:after="0" w:line="238" w:lineRule="auto"/>
        <w:tabs>
          <w:tab w:leader="none" w:pos="940" w:val="left"/>
        </w:tabs>
        <w:rPr>
          <w:sz w:val="20"/>
          <w:szCs w:val="20"/>
          <w:color w:val="auto"/>
        </w:rPr>
      </w:pPr>
      <w:r>
        <w:rPr>
          <w:rFonts w:ascii="Courier New" w:cs="Courier New" w:eastAsia="Courier New" w:hAnsi="Courier New"/>
          <w:sz w:val="18"/>
          <w:szCs w:val="18"/>
          <w:color w:val="auto"/>
        </w:rPr>
        <w:t>Company</w:t>
        <w:tab/>
        <w:t>("the Company") as a result of acting as investment</w:t>
      </w:r>
    </w:p>
    <w:p>
      <w:pPr>
        <w:spacing w:after="0"/>
        <w:rPr>
          <w:sz w:val="20"/>
          <w:szCs w:val="20"/>
          <w:color w:val="auto"/>
        </w:rPr>
      </w:pPr>
      <w:r>
        <w:rPr>
          <w:rFonts w:ascii="Courier New" w:cs="Courier New" w:eastAsia="Courier New" w:hAnsi="Courier New"/>
          <w:sz w:val="18"/>
          <w:szCs w:val="18"/>
          <w:color w:val="auto"/>
        </w:rPr>
        <w:t>adviser to various investment companies registered under</w:t>
      </w:r>
    </w:p>
    <w:p>
      <w:pPr>
        <w:spacing w:after="0" w:line="237" w:lineRule="auto"/>
        <w:rPr>
          <w:sz w:val="20"/>
          <w:szCs w:val="20"/>
          <w:color w:val="auto"/>
        </w:rPr>
      </w:pPr>
      <w:r>
        <w:rPr>
          <w:rFonts w:ascii="Courier New" w:cs="Courier New" w:eastAsia="Courier New" w:hAnsi="Courier New"/>
          <w:sz w:val="18"/>
          <w:szCs w:val="18"/>
          <w:color w:val="auto"/>
        </w:rPr>
        <w:t>Section 8 of the Investment Company Act of 1940. The</w:t>
      </w:r>
    </w:p>
    <w:p>
      <w:pPr>
        <w:spacing w:after="0" w:line="5" w:lineRule="exact"/>
        <w:rPr>
          <w:sz w:val="20"/>
          <w:szCs w:val="20"/>
          <w:color w:val="auto"/>
        </w:rPr>
      </w:pPr>
    </w:p>
    <w:p>
      <w:pPr>
        <w:ind w:right="4199"/>
        <w:spacing w:after="0" w:line="237" w:lineRule="auto"/>
        <w:rPr>
          <w:sz w:val="20"/>
          <w:szCs w:val="20"/>
          <w:color w:val="auto"/>
        </w:rPr>
      </w:pPr>
      <w:r>
        <w:rPr>
          <w:rFonts w:ascii="Courier New" w:cs="Courier New" w:eastAsia="Courier New" w:hAnsi="Courier New"/>
          <w:sz w:val="18"/>
          <w:szCs w:val="18"/>
          <w:color w:val="auto"/>
        </w:rPr>
        <w:t>number of shares of Common Stock of Macerich Company owned by the investment companies at December 31, 2011 included 80,380 shares of Common Stock resulting from the assumed conversion of $8,286,000 principal amount of MACERICH CO CNV 3.25% 3/12 (9.7007 shares of Common Stock for each $1,000 principal amount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debenture).</w:t>
      </w:r>
    </w:p>
    <w:p>
      <w:pPr>
        <w:spacing w:after="0" w:line="207"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13,157,879 shares owned by the Funds.</w:t>
      </w:r>
    </w:p>
    <w:p>
      <w:pPr>
        <w:spacing w:after="0" w:line="209"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182"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Strategic Advisers, Inc., 82 Devonshire Street, Boston, MA 02109, a wholly-owned subsidiary of FMR LLC and an investment adviser registered under Section 203 of the Investment Advisers Act of 1940, provides investment advisory services to individuals. As such, FMR LLC's beneficial ownership includes 143 shares, or 0.000%, of the Common Stock outstanding of Macerich Company, beneficially owned through Strategic Advisers, Inc.</w:t>
      </w:r>
    </w:p>
    <w:p>
      <w:pPr>
        <w:spacing w:after="0" w:line="212" w:lineRule="exact"/>
        <w:rPr>
          <w:sz w:val="20"/>
          <w:szCs w:val="20"/>
          <w:color w:val="auto"/>
        </w:rPr>
      </w:pPr>
    </w:p>
    <w:p>
      <w:pPr>
        <w:ind w:right="3899" w:firstLine="843"/>
        <w:spacing w:after="0" w:line="237" w:lineRule="auto"/>
        <w:rPr>
          <w:sz w:val="20"/>
          <w:szCs w:val="20"/>
          <w:color w:val="auto"/>
        </w:rPr>
      </w:pPr>
      <w:r>
        <w:rPr>
          <w:rFonts w:ascii="Courier New" w:cs="Courier New" w:eastAsia="Courier New" w:hAnsi="Courier New"/>
          <w:sz w:val="18"/>
          <w:szCs w:val="18"/>
          <w:color w:val="auto"/>
        </w:rPr>
        <w:t>Pyramis Global Advisors, LLC ("PGALLC"), 900 Salem Street, Smithfield, Rhode Island, 02917, an indirect wholly-owned subsidiary of FMR LLC and an investment adviser registered under Section 203 of the Investment Advisers Act of 1940, is the beneficial owner of 303,883 shares or 0.230% of the outstanding Common Stock of Macerich Company as a result of its serving as investment adviser to institutional accounts, non-U.S. mutual funds, or investment companies registered under Section 8 of the Investment Company Act of 1940 owning such shares.</w:t>
      </w:r>
    </w:p>
    <w:p>
      <w:pPr>
        <w:spacing w:after="0" w:line="215" w:lineRule="exact"/>
        <w:rPr>
          <w:sz w:val="20"/>
          <w:szCs w:val="20"/>
          <w:color w:val="auto"/>
        </w:rPr>
      </w:pPr>
    </w:p>
    <w:p>
      <w:pPr>
        <w:ind w:right="3779" w:firstLine="843"/>
        <w:spacing w:after="0" w:line="237" w:lineRule="auto"/>
        <w:rPr>
          <w:sz w:val="20"/>
          <w:szCs w:val="20"/>
          <w:color w:val="auto"/>
        </w:rPr>
      </w:pPr>
      <w:r>
        <w:rPr>
          <w:rFonts w:ascii="Courier New" w:cs="Courier New" w:eastAsia="Courier New" w:hAnsi="Courier New"/>
          <w:sz w:val="18"/>
          <w:szCs w:val="18"/>
          <w:color w:val="auto"/>
        </w:rPr>
        <w:t>Edward C. Johnson 3d and FMR LLC, through its control of PGALLC, each has sole dispositive power over 303,883 shares and sole power to vote or to direct the voting of 303,883 shares of Common Stock owned by the institutional accounts or funds advised by PGALLC as reported above.</w:t>
      </w: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Pyramis Global Advisors Trust Company ("PGATC"),</w:t>
      </w:r>
    </w:p>
    <w:p>
      <w:pPr>
        <w:spacing w:after="0" w:line="4"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900 Salem Street, Smithfield, Rhode Island, 02917, an indirect wholly-owned subsidiary of FMR LLC and a bank as defined</w:t>
      </w:r>
    </w:p>
    <w:p>
      <w:pPr>
        <w:ind w:right="3779"/>
        <w:spacing w:after="0" w:line="237" w:lineRule="auto"/>
        <w:rPr>
          <w:sz w:val="20"/>
          <w:szCs w:val="20"/>
          <w:color w:val="auto"/>
        </w:rPr>
      </w:pPr>
      <w:r>
        <w:rPr>
          <w:rFonts w:ascii="Courier New" w:cs="Courier New" w:eastAsia="Courier New" w:hAnsi="Courier New"/>
          <w:sz w:val="18"/>
          <w:szCs w:val="18"/>
          <w:color w:val="auto"/>
        </w:rPr>
        <w:t>in Section 3(a)(6) of the Securities Exchange Act of 1934, is the beneficial owner of 289,483 shares or 0.219% of the outstanding Common Stock of the Macerich Company as a result of its serving as investment manager of institutional accounts owning such shares.</w:t>
      </w:r>
    </w:p>
    <w:p>
      <w:pPr>
        <w:sectPr>
          <w:pgSz w:w="11900" w:h="16838" w:orient="portrait"/>
          <w:cols w:equalWidth="0" w:num="1">
            <w:col w:w="10219"/>
          </w:cols>
          <w:pgMar w:left="240" w:top="547" w:right="1440" w:bottom="0" w:gutter="0" w:footer="0" w:header="0"/>
        </w:sectPr>
      </w:pPr>
    </w:p>
    <w:bookmarkStart w:id="3" w:name="page4"/>
    <w:bookmarkEnd w:id="3"/>
    <w:p>
      <w:pPr>
        <w:ind w:right="3899" w:firstLine="843"/>
        <w:spacing w:after="0" w:line="237" w:lineRule="auto"/>
        <w:rPr>
          <w:sz w:val="20"/>
          <w:szCs w:val="20"/>
          <w:color w:val="auto"/>
        </w:rPr>
      </w:pPr>
      <w:r>
        <w:rPr>
          <w:rFonts w:ascii="Courier New" w:cs="Courier New" w:eastAsia="Courier New" w:hAnsi="Courier New"/>
          <w:sz w:val="18"/>
          <w:szCs w:val="18"/>
          <w:color w:val="auto"/>
        </w:rPr>
        <w:t>Edward C. Johnson 3d and FMR LLC, through its control of Pyramis Global Advisors Trust Company, each has sole dispositive power over 289,483 shares and sole power to vote or to direct the voting of 289,483 shares of Common Stock owned by the institutional accounts managed by PGATC as reported above.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13, 2012, agree and consent to the joint filing on their behalf of this Schedule 13G in connection with their beneficial ownership of the Common Stock of Macerich Company at December 31, 2011.</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2019-12-09T12:00:57Z</dcterms:created>
  <dcterms:modified xsi:type="dcterms:W3CDTF">2019-12-09T12:00:57Z</dcterms:modified>
</cp:coreProperties>
</file>