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1426210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1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43" w:lineRule="exact"/>
        <w:rPr>
          <w:rFonts w:ascii="MS PGothic" w:cs="MS PGothic" w:eastAsia="MS PGothic" w:hAnsi="MS PGothic"/>
          <w:sz w:val="21"/>
          <w:szCs w:val="21"/>
          <w:color w:val="auto"/>
        </w:rPr>
      </w:pPr>
    </w:p>
    <w:p>
      <w:pPr>
        <w:ind w:left="66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0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0" w:lineRule="exact"/>
        <w:rPr>
          <w:sz w:val="24"/>
          <w:szCs w:val="24"/>
          <w:color w:val="auto"/>
        </w:rPr>
      </w:pPr>
    </w:p>
    <w:p>
      <w:pPr>
        <w:spacing w:after="0" w:line="29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Commission File No.: 1-12504</w:t>
      </w:r>
    </w:p>
    <w:p>
      <w:pPr>
        <w:spacing w:after="0" w:line="15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36"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color w:val="auto"/>
        </w:rPr>
        <w:t>Maryland</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95-4448705</w:t>
      </w:r>
    </w:p>
    <w:p>
      <w:pPr>
        <w:spacing w:after="0" w:line="28" w:lineRule="exact"/>
        <w:rPr>
          <w:sz w:val="24"/>
          <w:szCs w:val="24"/>
          <w:color w:val="auto"/>
        </w:rPr>
      </w:pPr>
    </w:p>
    <w:p>
      <w:pPr>
        <w:sectPr>
          <w:pgSz w:w="11900" w:h="16838" w:orient="portrait"/>
          <w:cols w:equalWidth="0" w:num="2">
            <w:col w:w="7320" w:space="720"/>
            <w:col w:w="3140"/>
          </w:cols>
          <w:pgMar w:left="320" w:top="1440" w:right="39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8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93" w:lineRule="exact"/>
        <w:rPr>
          <w:sz w:val="24"/>
          <w:szCs w:val="24"/>
          <w:color w:val="auto"/>
        </w:rPr>
      </w:pPr>
    </w:p>
    <w:p>
      <w:pPr>
        <w:sectPr>
          <w:pgSz w:w="11900" w:h="16838" w:orient="portrait"/>
          <w:cols w:equalWidth="0" w:num="2">
            <w:col w:w="6380" w:space="720"/>
            <w:col w:w="4080"/>
          </w:cols>
          <w:pgMar w:left="320" w:top="1440" w:right="399" w:bottom="1440" w:gutter="0" w:footer="0" w:header="0"/>
          <w:type w:val="continuous"/>
        </w:sectPr>
      </w:pPr>
    </w:p>
    <w:p>
      <w:pPr>
        <w:jc w:val="center"/>
        <w:ind w:left="400"/>
        <w:spacing w:after="0"/>
        <w:rPr>
          <w:sz w:val="20"/>
          <w:szCs w:val="20"/>
          <w:color w:val="auto"/>
        </w:rPr>
      </w:pPr>
      <w:r>
        <w:rPr>
          <w:rFonts w:ascii="Times New Roman" w:cs="Times New Roman" w:eastAsia="Times New Roman" w:hAnsi="Times New Roman"/>
          <w:sz w:val="16"/>
          <w:szCs w:val="16"/>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20" w:lineRule="exact"/>
        <w:rPr>
          <w:sz w:val="24"/>
          <w:szCs w:val="24"/>
          <w:color w:val="auto"/>
        </w:rPr>
      </w:pPr>
      <w:r>
        <w:rPr>
          <w:sz w:val="24"/>
          <w:szCs w:val="24"/>
          <w:color w:val="auto"/>
        </w:rPr>
        <w:br w:type="column"/>
      </w:r>
    </w:p>
    <w:p>
      <w:pPr>
        <w:jc w:val="center"/>
        <w:ind w:right="2560"/>
        <w:spacing w:after="0"/>
        <w:rPr>
          <w:sz w:val="20"/>
          <w:szCs w:val="20"/>
          <w:color w:val="auto"/>
        </w:rPr>
      </w:pPr>
      <w:r>
        <w:rPr>
          <w:rFonts w:ascii="Times New Roman" w:cs="Times New Roman" w:eastAsia="Times New Roman" w:hAnsi="Times New Roman"/>
          <w:sz w:val="16"/>
          <w:szCs w:val="16"/>
          <w:color w:val="auto"/>
        </w:rPr>
        <w:t>90401</w:t>
      </w:r>
    </w:p>
    <w:p>
      <w:pPr>
        <w:spacing w:after="0" w:line="32" w:lineRule="exact"/>
        <w:rPr>
          <w:sz w:val="24"/>
          <w:szCs w:val="24"/>
          <w:color w:val="auto"/>
        </w:rPr>
      </w:pPr>
    </w:p>
    <w:p>
      <w:pPr>
        <w:sectPr>
          <w:pgSz w:w="11900" w:h="16838" w:orient="portrait"/>
          <w:cols w:equalWidth="0" w:num="5">
            <w:col w:w="2000" w:space="420"/>
            <w:col w:w="660" w:space="340"/>
            <w:col w:w="940" w:space="400"/>
            <w:col w:w="2740" w:space="720"/>
            <w:col w:w="2960"/>
          </w:cols>
          <w:pgMar w:left="320" w:top="1440" w:right="39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340" w:space="720"/>
            <w:col w:w="3120"/>
          </w:cols>
          <w:pgMar w:left="320" w:top="1440" w:right="39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180"/>
          </w:cols>
          <w:pgMar w:left="320" w:top="1440" w:right="399" w:bottom="1440" w:gutter="0" w:footer="0" w:header="0"/>
          <w:type w:val="continuous"/>
        </w:sectPr>
      </w:pPr>
    </w:p>
    <w:p>
      <w:pPr>
        <w:spacing w:after="0" w:line="3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color w:val="auto"/>
        </w:rPr>
        <w:t>N/A</w:t>
      </w:r>
    </w:p>
    <w:p>
      <w:pPr>
        <w:ind w:left="29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ectPr>
          <w:pgSz w:w="11900" w:h="16838" w:orient="portrait"/>
          <w:cols w:equalWidth="0" w:num="1">
            <w:col w:w="11180"/>
          </w:cols>
          <w:pgMar w:left="320" w:top="1440" w:right="399" w:bottom="1440" w:gutter="0" w:footer="0" w:header="0"/>
          <w:type w:val="continuous"/>
        </w:sectPr>
      </w:pPr>
    </w:p>
    <w:p>
      <w:pPr>
        <w:spacing w:after="0" w:line="5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MAC</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40" w:space="720"/>
            <w:col w:w="2000" w:space="720"/>
            <w:col w:w="3700"/>
          </w:cols>
          <w:pgMar w:left="320" w:top="1440" w:right="399" w:bottom="1440" w:gutter="0" w:footer="0" w:header="0"/>
          <w:type w:val="continuous"/>
        </w:sectPr>
      </w:pPr>
    </w:p>
    <w:p>
      <w:pPr>
        <w:spacing w:after="0" w:line="52" w:lineRule="exact"/>
        <w:rPr>
          <w:sz w:val="24"/>
          <w:szCs w:val="24"/>
          <w:color w:val="auto"/>
        </w:rPr>
      </w:pPr>
    </w:p>
    <w:p>
      <w:pPr>
        <w:jc w:val="both"/>
        <w:ind w:right="180" w:firstLine="445"/>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firstLine="445"/>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6" w:lineRule="exact"/>
        <w:rPr>
          <w:sz w:val="24"/>
          <w:szCs w:val="24"/>
          <w:color w:val="auto"/>
        </w:rPr>
      </w:pPr>
    </w:p>
    <w:p>
      <w:pPr>
        <w:ind w:right="280" w:firstLine="445"/>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440" w:right="399" w:bottom="1440" w:gutter="0" w:footer="0" w:header="0"/>
          <w:type w:val="continuous"/>
        </w:sectPr>
      </w:pPr>
    </w:p>
    <w:p>
      <w:pPr>
        <w:spacing w:after="0" w:line="3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both"/>
        <w:ind w:hanging="20"/>
        <w:spacing w:after="0" w:line="316" w:lineRule="auto"/>
        <w:rPr>
          <w:sz w:val="20"/>
          <w:szCs w:val="20"/>
          <w:color w:val="auto"/>
        </w:rPr>
      </w:pPr>
      <w:r>
        <w:rPr>
          <w:rFonts w:ascii="Times New Roman" w:cs="Times New Roman" w:eastAsia="Times New Roman" w:hAnsi="Times New Roman"/>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0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0" w:lineRule="exact"/>
        <w:rPr>
          <w:sz w:val="24"/>
          <w:szCs w:val="24"/>
          <w:color w:val="auto"/>
        </w:rPr>
      </w:pPr>
    </w:p>
    <w:p>
      <w:pPr>
        <w:sectPr>
          <w:pgSz w:w="11900" w:h="16838" w:orient="portrait"/>
          <w:cols w:equalWidth="0" w:num="8">
            <w:col w:w="1920" w:space="420"/>
            <w:col w:w="180" w:space="480"/>
            <w:col w:w="1120" w:space="440"/>
            <w:col w:w="140" w:space="560"/>
            <w:col w:w="1440" w:space="560"/>
            <w:col w:w="540" w:space="720"/>
            <w:col w:w="1860" w:space="120"/>
            <w:col w:w="680"/>
          </w:cols>
          <w:pgMar w:left="320" w:top="1440" w:right="399" w:bottom="1440" w:gutter="0" w:footer="0" w:header="0"/>
          <w:type w:val="continuous"/>
        </w:sectPr>
      </w:pPr>
    </w:p>
    <w:p>
      <w:pPr>
        <w:ind w:right="80" w:firstLine="445"/>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2" w:lineRule="exact"/>
        <w:rPr>
          <w:sz w:val="24"/>
          <w:szCs w:val="24"/>
          <w:color w:val="auto"/>
        </w:rPr>
      </w:pPr>
    </w:p>
    <w:p>
      <w:pPr>
        <w:ind w:left="460"/>
        <w:spacing w:after="0" w:line="196" w:lineRule="exact"/>
        <w:tabs>
          <w:tab w:leader="none" w:pos="85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2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Number of shares outstanding as of May 6, 2024 of the registrant's common stock, par value $0.01 per share: 215,750,149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THE MACERICH COMPANY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gridSpan w:val="3"/>
          </w:tcPr>
          <w:p>
            <w:pPr>
              <w:spacing w:after="0"/>
              <w:rPr>
                <w:sz w:val="21"/>
                <w:szCs w:val="21"/>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580" w:type="dxa"/>
            <w:vAlign w:val="bottom"/>
            <w:gridSpan w:val="9"/>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2024 and December 31,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2024 and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 months ended March 31, 2024 and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for the three months ended March 31, 2024 and 2023</w:t>
            </w:r>
          </w:p>
        </w:tc>
        <w:tc>
          <w:tcPr>
            <w:tcW w:w="1020" w:type="dxa"/>
            <w:vAlign w:val="bottom"/>
            <w:gridSpan w:val="3"/>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three months ended March 31, 2024 and 2023</w:t>
            </w:r>
          </w:p>
        </w:tc>
        <w:tc>
          <w:tcPr>
            <w:tcW w:w="3320" w:type="dxa"/>
            <w:vAlign w:val="bottom"/>
            <w:gridSpan w:val="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320" w:type="dxa"/>
            <w:vAlign w:val="bottom"/>
            <w:gridSpan w:val="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500" w:type="dxa"/>
            <w:vAlign w:val="bottom"/>
            <w:gridSpan w:val="3"/>
          </w:tcPr>
          <w:p>
            <w:pPr>
              <w:spacing w:after="0"/>
              <w:rPr>
                <w:sz w:val="22"/>
                <w:szCs w:val="22"/>
                <w:color w:val="auto"/>
              </w:rPr>
            </w:pPr>
          </w:p>
        </w:tc>
        <w:tc>
          <w:tcPr>
            <w:tcW w:w="6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560" w:type="dxa"/>
            <w:vAlign w:val="bottom"/>
            <w:gridSpan w:val="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64"/>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3"/>
          </w:tcPr>
          <w:p>
            <w:pPr>
              <w:spacing w:after="0"/>
              <w:rPr>
                <w:sz w:val="22"/>
                <w:szCs w:val="22"/>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64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3"/>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gridSpan w:val="3"/>
          </w:tcPr>
          <w:p>
            <w:pPr>
              <w:spacing w:after="0"/>
              <w:rPr>
                <w:sz w:val="21"/>
                <w:szCs w:val="21"/>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6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63"/>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00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63"/>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3"/>
          </w:tcPr>
          <w:p>
            <w:pPr>
              <w:spacing w:after="0"/>
              <w:rPr>
                <w:sz w:val="22"/>
                <w:szCs w:val="22"/>
                <w:color w:val="auto"/>
              </w:rPr>
            </w:pPr>
          </w:p>
        </w:tc>
        <w:tc>
          <w:tcPr>
            <w:tcW w:w="43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6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63"/>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3"/>
          </w:tcPr>
          <w:p>
            <w:pPr>
              <w:spacing w:after="0"/>
              <w:rPr>
                <w:sz w:val="22"/>
                <w:szCs w:val="22"/>
                <w:color w:val="auto"/>
              </w:rPr>
            </w:pPr>
          </w:p>
        </w:tc>
        <w:tc>
          <w:tcPr>
            <w:tcW w:w="2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80" w:type="dxa"/>
            <w:vAlign w:val="bottom"/>
            <w:gridSpan w:val="10"/>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64"/>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00" w:type="dxa"/>
            <w:vAlign w:val="bottom"/>
            <w:gridSpan w:val="3"/>
          </w:tcPr>
          <w:p>
            <w:pPr>
              <w:spacing w:after="0"/>
              <w:rPr>
                <w:sz w:val="22"/>
                <w:szCs w:val="22"/>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2"/>
                <w:szCs w:val="22"/>
                <w:color w:val="auto"/>
              </w:rPr>
            </w:pPr>
          </w:p>
        </w:tc>
        <w:tc>
          <w:tcPr>
            <w:tcW w:w="8240" w:type="dxa"/>
            <w:vAlign w:val="bottom"/>
            <w:gridSpan w:val="11"/>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00" w:type="dxa"/>
            <w:vAlign w:val="bottom"/>
            <w:gridSpan w:val="3"/>
          </w:tcPr>
          <w:p>
            <w:pPr>
              <w:spacing w:after="0"/>
              <w:rPr>
                <w:sz w:val="22"/>
                <w:szCs w:val="22"/>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40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263"/>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Signature</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5,838,822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5,900,489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852,764</w:t>
            </w:r>
          </w:p>
        </w:tc>
      </w:tr>
      <w:tr>
        <w:trPr>
          <w:trHeight w:val="22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7,363,073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7,513,512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4,098,705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4,136,136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334,742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102,516</w:t>
            </w:r>
          </w:p>
        </w:tc>
      </w:tr>
      <w:tr>
        <w:trPr>
          <w:trHeight w:val="22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5,002,458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4,985,911</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6"/>
        </w:trPr>
        <w:tc>
          <w:tcPr>
            <w:tcW w:w="82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at March 31, 2024 and December 31, 2023,</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5"/>
        </w:trPr>
        <w:tc>
          <w:tcPr>
            <w:tcW w:w="82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and 216,091,693 and 215,976,614 shares issued and outstanding at March 31, 2024 and December 31, 2023,</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5,512,628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5,509,603</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(3,063,789)</w:t>
            </w: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2,447,020</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80,581</w:t>
            </w:r>
          </w:p>
        </w:tc>
      </w:tr>
      <w:tr>
        <w:trPr>
          <w:trHeight w:val="223"/>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2,527,601</w:t>
            </w:r>
          </w:p>
        </w:tc>
      </w:tr>
      <w:tr>
        <w:trPr>
          <w:trHeight w:val="22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7,363,073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7,513,512</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5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2"/>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191,652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199,045</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9,054</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Management Companies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208,783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214,854</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70,487</w:t>
            </w: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expenses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18,900</w:t>
            </w: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71,453</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179,902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177,476</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 (income):</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parties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(9,407)</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48,830</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52,190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39,423</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216,899</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Equity in loss of unconsolidated joint ventures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(61,810)</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gain on sale or write down of assets, net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(58,194)</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(126,728)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(58,733)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per common share—attributable to common stockholders: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216,036,000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215,291,000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216,036,000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215,291,000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1680" w:type="dxa"/>
        <w:tblCellMar>
          <w:top w:w="0" w:type="dxa"/>
          <w:left w:w="0" w:type="dxa"/>
          <w:bottom w:w="0" w:type="dxa"/>
          <w:right w:w="0" w:type="dxa"/>
        </w:tblCellMar>
      </w:tblPr>
      <w:tr>
        <w:trPr>
          <w:trHeight w:val="210"/>
        </w:trPr>
        <w:tc>
          <w:tcPr>
            <w:tcW w:w="5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(58,194)</w:t>
            </w:r>
          </w:p>
        </w:tc>
      </w:tr>
      <w:tr>
        <w:trPr>
          <w:trHeight w:val="195"/>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(58,074)</w:t>
            </w: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the Company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(126,113)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(58,613)</w:t>
            </w:r>
          </w:p>
        </w:tc>
      </w:tr>
      <w:tr>
        <w:trPr>
          <w:trHeight w:val="21"/>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6"/>
        </w:trPr>
        <w:tc>
          <w:tcPr>
            <w:tcW w:w="188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4"/>
                <w:szCs w:val="14"/>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215,976,614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5,509,603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(3,063,789)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2,447,020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80,581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2,527,601</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(131,446)</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0" w:type="dxa"/>
            <w:vAlign w:val="bottom"/>
          </w:tcPr>
          <w:p>
            <w:pPr>
              <w:spacing w:after="0"/>
              <w:rPr>
                <w:sz w:val="1"/>
                <w:szCs w:val="1"/>
                <w:color w:val="auto"/>
              </w:rPr>
            </w:pPr>
          </w:p>
        </w:tc>
      </w:tr>
      <w:tr>
        <w:trPr>
          <w:trHeight w:val="130"/>
        </w:trPr>
        <w:tc>
          <w:tcPr>
            <w:tcW w:w="18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3,046</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($0.17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(36,795)</w:t>
            </w:r>
          </w:p>
        </w:tc>
        <w:tc>
          <w:tcPr>
            <w:tcW w:w="0" w:type="dxa"/>
            <w:vAlign w:val="bottom"/>
          </w:tcPr>
          <w:p>
            <w:pPr>
              <w:spacing w:after="0"/>
              <w:rPr>
                <w:sz w:val="1"/>
                <w:szCs w:val="1"/>
                <w:color w:val="auto"/>
              </w:rPr>
            </w:pPr>
          </w:p>
        </w:tc>
      </w:tr>
      <w:tr>
        <w:trPr>
          <w:trHeight w:val="130"/>
        </w:trPr>
        <w:tc>
          <w:tcPr>
            <w:tcW w:w="18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w:t>
            </w: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March 31,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216,091,693</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5,512,628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(3,227,312)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2,287,138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73,477</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2,360,615</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8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line="20" w:lineRule="exact"/>
              <w:rPr>
                <w:sz w:val="1"/>
                <w:szCs w:val="1"/>
                <w:color w:val="auto"/>
              </w:rPr>
            </w:pPr>
          </w:p>
        </w:tc>
        <w:tc>
          <w:tcPr>
            <w:tcW w:w="740" w:type="dxa"/>
            <w:vAlign w:val="bottom"/>
            <w:vMerge w:val="restart"/>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22"/>
        </w:trPr>
        <w:tc>
          <w:tcPr>
            <w:tcW w:w="1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5"/>
                <w:szCs w:val="15"/>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5"/>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215,241,129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5,506,084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(2,643,094)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2,865,773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83,576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2,949,349</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(58,194)</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120,791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5,972</w:t>
            </w:r>
          </w:p>
        </w:tc>
        <w:tc>
          <w:tcPr>
            <w:tcW w:w="0" w:type="dxa"/>
            <w:vAlign w:val="bottom"/>
          </w:tcPr>
          <w:p>
            <w:pPr>
              <w:spacing w:after="0"/>
              <w:rPr>
                <w:sz w:val="1"/>
                <w:szCs w:val="1"/>
                <w:color w:val="auto"/>
              </w:rPr>
            </w:pPr>
          </w:p>
        </w:tc>
      </w:tr>
      <w:tr>
        <w:trPr>
          <w:trHeight w:val="18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offerings, net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($0.17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(36,698)</w:t>
            </w: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(5,114)</w:t>
            </w:r>
          </w:p>
        </w:tc>
        <w:tc>
          <w:tcPr>
            <w:tcW w:w="0" w:type="dxa"/>
            <w:vAlign w:val="bottom"/>
          </w:tcPr>
          <w:p>
            <w:pPr>
              <w:spacing w:after="0"/>
              <w:rPr>
                <w:sz w:val="1"/>
                <w:szCs w:val="1"/>
                <w:color w:val="auto"/>
              </w:rPr>
            </w:pPr>
          </w:p>
        </w:tc>
      </w:tr>
      <w:tr>
        <w:trPr>
          <w:trHeight w:val="121"/>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215,361,920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5,511,513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(2,738,525)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2,775,892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2,855,414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822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2"/>
        </w:trPr>
        <w:tc>
          <w:tcPr>
            <w:tcW w:w="26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1"/>
        </w:trPr>
        <w:tc>
          <w:tcPr>
            <w:tcW w:w="26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5"/>
        </w:trPr>
        <w:tc>
          <w:tcPr>
            <w:tcW w:w="26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(58,194)</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sale or write down of assets,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75,035</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loss of unconsolidated joint ventures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61,810</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of income from unconsolidated joint ventures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Due from affiliates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80,730</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improvements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leasing costs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162,166</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118,165</w:t>
            </w:r>
          </w:p>
        </w:tc>
        <w:tc>
          <w:tcPr>
            <w:tcW w:w="240" w:type="dxa"/>
            <w:vAlign w:val="bottom"/>
          </w:tcPr>
          <w:p>
            <w:pPr>
              <w:spacing w:after="0"/>
              <w:rPr>
                <w:sz w:val="19"/>
                <w:szCs w:val="19"/>
                <w:color w:val="auto"/>
              </w:rPr>
            </w:pPr>
          </w:p>
        </w:tc>
      </w:tr>
      <w:tr>
        <w:trPr>
          <w:trHeight w:val="898"/>
        </w:trPr>
        <w:tc>
          <w:tcPr>
            <w:tcW w:w="8480" w:type="dxa"/>
            <w:vAlign w:val="bottom"/>
            <w:gridSpan w:val="2"/>
          </w:tcPr>
          <w:p>
            <w:pPr>
              <w:jc w:val="right"/>
              <w:ind w:right="27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0"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822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1"/>
        </w:trPr>
        <w:tc>
          <w:tcPr>
            <w:tcW w:w="8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mortgages, bank and other notes payable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(538,664)</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from stock offerings</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(174,341)</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181,139</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 accrued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62"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retail centers and community/power shopping centers (the "Centers") located throughout the United States.</w:t>
      </w:r>
    </w:p>
    <w:p>
      <w:pPr>
        <w:spacing w:after="0" w:line="8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March 31, 2024,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08"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20"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77" w:lineRule="exact"/>
        <w:rPr>
          <w:sz w:val="20"/>
          <w:szCs w:val="20"/>
          <w:color w:val="auto"/>
        </w:rPr>
      </w:pPr>
    </w:p>
    <w:p>
      <w:pPr>
        <w:ind w:left="420" w:right="7600" w:hanging="412"/>
        <w:spacing w:after="0" w:line="424" w:lineRule="auto"/>
        <w:tabs>
          <w:tab w:leader="none" w:pos="1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spacing w:after="0" w:line="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99"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SanTan Village Regional Center.</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128,673</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219,506</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78,794</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298,300</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ectPr>
          <w:pgSz w:w="11900" w:h="16838" w:orient="portrait"/>
          <w:cols w:equalWidth="0" w:num="1">
            <w:col w:w="11220"/>
          </w:cols>
          <w:pgMar w:left="320" w:top="6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5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Company's audited consolidated financial statements and notes thereto included in the Company's Annual Report on Form 10-K for the year ended December 31, 2023.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2023 has been derived from the audited financial statements but does not include all disclosures required by GAAP.</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of period and end of period cash, cash equivalents and restricted cash reported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to the totals shown on its consolidated statements of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100,320</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80,819</w:t>
            </w:r>
          </w:p>
        </w:tc>
      </w:tr>
      <w:tr>
        <w:trPr>
          <w:trHeight w:val="223"/>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181,139</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End of period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112,173</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93,520</w:t>
            </w:r>
          </w:p>
        </w:tc>
      </w:tr>
      <w:tr>
        <w:trPr>
          <w:trHeight w:val="223"/>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205,693</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46"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No. 2023-07 “Segment Reporting (Topic 280): Improvements to Reportable Segment Disclosures.” This ASU is effective for fiscal years beginning after December 15, 2023, and interim periods within fiscal years beginning after December 15, 2024, with early adoption permitted. The Company is currently evaluating the impact of adopting ASU on its consolidated financial statements and disclosures.</w:t>
      </w:r>
    </w:p>
    <w:p>
      <w:pPr>
        <w:spacing w:after="0" w:line="3" w:lineRule="exact"/>
        <w:rPr>
          <w:sz w:val="20"/>
          <w:szCs w:val="20"/>
          <w:color w:val="auto"/>
        </w:rPr>
      </w:pPr>
    </w:p>
    <w:p>
      <w:pPr>
        <w:ind w:right="160" w:firstLine="445"/>
        <w:spacing w:after="0" w:line="253" w:lineRule="auto"/>
        <w:rPr>
          <w:sz w:val="20"/>
          <w:szCs w:val="20"/>
          <w:color w:val="auto"/>
        </w:rPr>
      </w:pPr>
      <w:r>
        <w:rPr>
          <w:rFonts w:ascii="Times New Roman" w:cs="Times New Roman" w:eastAsia="Times New Roman" w:hAnsi="Times New Roman"/>
          <w:sz w:val="18"/>
          <w:szCs w:val="18"/>
          <w:color w:val="auto"/>
        </w:rPr>
        <w:t>In March 2024, the SEC adopted the final rule under SEC Release No. 33-11275, The Enhancement and Standardization of Climate Related Disclosures for Investors, which requires registrants to disclose climate-related information in registration statements and annual reports. The new rules would be effective for annual reporting periods beginning in fiscal year 2025. However, in April 2024, the SEC exercised its discretion to stay these rules pending the completion of judicial review of certain consolidated petitions with the United States Court of Appeals for the Eighth Circuit in connection with these rules. The Company is evaluating the impact of this rule on its consolidated financial statements and disclosures.</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months ended March 31, 2024 and 2023</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6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(131,446)</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(58,194)</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(58,733)</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EPS—net loss attributable to common stockholders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(126,914)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6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Denominator for basic and diluted EPS—weighted average number of common</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216,036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215,291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outstanding(1)</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loss attributable to common stockholders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(shares in thousands):  </w:t>
            </w:r>
            <w:r>
              <w:rPr>
                <w:rFonts w:ascii="Times New Roman" w:cs="Times New Roman" w:eastAsia="Times New Roman" w:hAnsi="Times New Roman"/>
                <w:sz w:val="35"/>
                <w:szCs w:val="35"/>
                <w:color w:val="auto"/>
                <w:vertAlign w:val="superscript"/>
              </w:rPr>
              <w:t>Basic and diluted</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
        </w:trPr>
        <w:tc>
          <w:tcPr>
            <w:tcW w:w="782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8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60" w:hanging="328"/>
        <w:spacing w:after="0" w:line="278" w:lineRule="auto"/>
        <w:tabs>
          <w:tab w:leader="none" w:pos="684"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99,565 convertible preferred partnership units for each of the three months ended March 31, 2024 and 2023, as their impact was antidilutive. Diluted EPS also excludes 10,104,663 and 8,978,620 Operating Partnership units ("OP Units") for the three months ended March 31, 2024 and 2023, respectively, as their impact was antidilutive.</w:t>
      </w:r>
    </w:p>
    <w:p>
      <w:pPr>
        <w:spacing w:after="0" w:line="313"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made the following recent financings or other events within its unconsolidated joint ventures:</w:t>
      </w:r>
    </w:p>
    <w:p>
      <w:pPr>
        <w:spacing w:after="0" w:line="144"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On March 3, 2023, the Company’s joint venture in Scottsdale Fashion Square replaced the existing $403,931 mortgage loan on the property with a $700,000 loan that bears interest at a fixed rate of 6.21%, is interest only during the entire loan term and matures on March 6, 2028.</w:t>
      </w:r>
    </w:p>
    <w:p>
      <w:pPr>
        <w:spacing w:after="0" w:line="9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w:t>
      </w:r>
    </w:p>
    <w:p>
      <w:pPr>
        <w:spacing w:after="0" w:line="108"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Effective May 9, 2023, the Company’s joint venture in Country Club Plaza defaulted on the $295,210 ($147,605 at the Company’s pro rata share) non-recourse loan on the property. The Company’s joint venture is in negotiations with the lender on the terms of this non-recourse loan. Accordingly, the joint venture shortened the holding period of the property due to the uncertainty as to the outcome of these discussions. As a result of shortening the holding period, the joint venture determined the fair value of the property was less than the carrying value and recorded an impairment loss during 2023. The Company recognized $100,997 as its share of the impairment which was limited to the extent of its investment which has been reduced to zero.</w:t>
      </w:r>
    </w:p>
    <w:p>
      <w:pPr>
        <w:spacing w:after="0" w:line="10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May 18, 2023, the Company acquired Seritage Growth Properties' ("Seritage") remaining 50% ownership interest in the MS Portfolio LLC joint venture that owns five former Sears parcels, for a total purchase price of $46,687. These parcels are located at Chandler Fashion Center, Danbury Fair Mall, Freehold Raceway Mall, Los Cerritos Center and Washington Square. As a result of this transaction and the shortening of holding periods, an impairment loss was recorded by the joint venture. The Company's share of the impairment loss was $51,363. Effective as of May 18, 2023, the Company now owns and has consolidated its 100% interest in these five former Sears parcels in its consolidated financial statements (See Note 15—Acquisitions).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On December 4, 2023, the Company's joint venture in Tysons Corner Center replaced the existing $666,465 mortgage loan on the property with a new $710,000 loan that bears interest at a fixed rate of 6.60%, is interest only during the entire loan term and matures on December 6, 2028.</w:t>
      </w:r>
    </w:p>
    <w:p>
      <w:pPr>
        <w:spacing w:after="0" w:line="9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December 27, 2023, the Company’s joint venture in One Westside sold the property, a 680,000 square foot office property in Los Angeles, California for $700,000. The existing $324,632 loan on the property was repaid, and $77,643 of net proceeds were generated at the Company’s 25% ownership share, which were used to reduce the Company’s revolving loan facility. As a result of this transaction, the Company recognized its share of gain on sale of assets of $8,118.</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$23,000 mortgage loan on the property with a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$24,000 loan that bears interest at a variable rate of SOFR plus 2.50%, is interest only during the entire loan term and matures on December 5, 2028.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 has a required interest rate cap throughout the term of the loan at a strike rate of 7.5%.</w:t>
      </w:r>
    </w:p>
    <w:p>
      <w:pPr>
        <w:spacing w:after="0" w:line="12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In the three months ended March 31, 2024, the Company evaluated its investment and concluded that due to certain conditions, the Company should not continue to invest capital in this development project. As a result, the Company determined the investment was impaired on an other-than-temporary basis and wrote-off its entire investment of $57,686 in the first quarter of 2024 through equity in loss of unconsolidated joint ventures.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20" w:type="dxa"/>
            <w:vAlign w:val="bottom"/>
            <w:tcBorders>
              <w:bottom w:val="single" w:sz="8" w:color="CCEEFF"/>
            </w:tcBorders>
          </w:tcPr>
          <w:p>
            <w:pPr>
              <w:spacing w:after="0"/>
              <w:rPr>
                <w:sz w:val="17"/>
                <w:szCs w:val="17"/>
                <w:color w:val="auto"/>
              </w:rPr>
            </w:pPr>
          </w:p>
        </w:tc>
        <w:tc>
          <w:tcPr>
            <w:tcW w:w="656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6,956,051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7,201,941</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607,864</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7,532,586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7,809,805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5,455,824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5,445,411</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436,179</w:t>
            </w: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1,090,403</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837,812</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7,532,586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7,809,805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1,090,403</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(412,425)</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5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852,764</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(174,786)</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677,978</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tcBorders>
              <w:bottom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47" w:lineRule="exact"/>
        <w:rPr>
          <w:sz w:val="20"/>
          <w:szCs w:val="20"/>
          <w:color w:val="auto"/>
        </w:rPr>
      </w:pPr>
    </w:p>
    <w:p>
      <w:pPr>
        <w:ind w:left="420" w:right="80" w:hanging="412"/>
        <w:spacing w:after="0" w:line="302" w:lineRule="auto"/>
        <w:tabs>
          <w:tab w:leader="none" w:pos="36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assets of $2,495,812 and $2,613,690 of Pacific Premier Retail LLC (the "PPR Portfolio") as of March 31, 2024 and December 31, 2023, respectively, and liabilities of $1,571,675 and $1,578,328 of the PPR Portfolio as of March 31, 2024 and December 31, 2023, respectively.</w:t>
      </w:r>
    </w:p>
    <w:p>
      <w:pPr>
        <w:sectPr>
          <w:pgSz w:w="11900" w:h="16838" w:orient="portrait"/>
          <w:cols w:equalWidth="0" w:num="1">
            <w:col w:w="11220"/>
          </w:cols>
          <w:pgMar w:left="320" w:top="2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157" w:lineRule="exact"/>
        <w:rPr>
          <w:sz w:val="20"/>
          <w:szCs w:val="20"/>
          <w:color w:val="auto"/>
        </w:rPr>
      </w:pPr>
    </w:p>
    <w:p>
      <w:pPr>
        <w:ind w:left="420" w:hanging="412"/>
        <w:spacing w:after="0" w:line="302" w:lineRule="auto"/>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into the Company's share of net loss. The amortization of this difference was $75,183 and $12,554 for the three months ended March 31, 2024 and 2023, respectively.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7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28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Joint</w:t>
            </w:r>
          </w:p>
        </w:tc>
        <w:tc>
          <w:tcPr>
            <w:tcW w:w="32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Ventures</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2024</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194,054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78,154</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222,289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(249,701)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163,368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207,784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223,045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(85,824)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6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uses interest rate cap agreements to manage the interest rate risk on certain floating rate debt. The Company recorded other comprehensive income related to the marking-to-market of derivative instruments of $615 and $120 for the three months ended March 31, 2024 and 2023, respectively. The amounts in other comprehensive income represent the Company's pro rata share of hedged derivative instruments from certain unconsolidated joint ventures.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derivatives were outstanding at March 31, 2024 and December 31,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SOFR/LIBOR</w:t>
            </w: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0" w:type="dxa"/>
            <w:vAlign w:val="bottom"/>
            <w:gridSpan w:val="2"/>
            <w:vMerge w:val="continue"/>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1"/>
                <w:szCs w:val="11"/>
                <w:color w:val="auto"/>
              </w:rPr>
            </w:pPr>
          </w:p>
        </w:tc>
        <w:tc>
          <w:tcPr>
            <w:tcW w:w="1080" w:type="dxa"/>
            <w:vAlign w:val="bottom"/>
          </w:tcPr>
          <w:p>
            <w:pPr>
              <w:jc w:val="center"/>
              <w:ind w:right="184"/>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060" w:type="dxa"/>
            <w:vAlign w:val="bottom"/>
          </w:tcPr>
          <w:p>
            <w:pPr>
              <w:jc w:val="center"/>
              <w:ind w:right="64"/>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58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10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Monica Place</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2,495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 Macerich Partnership, L.P.</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Sold Cap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12/9/2024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(2,491)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above derivatives were valued with an aggregate fair value (Level 2 measurement) and were included in other assets (other accrued liabilities). The fair value of the Company's interest rate derivatives was determined using discounted cash flow analysis on the expected cash flows of the derivatives.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1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caps. As a result, the Company determined that its interest rate cap valuations in their entirety are classified in Level 2 of the fair value hierarchy.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1,388,345</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6,070,367</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724,427</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186,717</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340,496</w:t>
            </w:r>
          </w:p>
        </w:tc>
      </w:tr>
      <w:tr>
        <w:trPr>
          <w:trHeight w:val="223"/>
        </w:trPr>
        <w:tc>
          <w:tcPr>
            <w:tcW w:w="6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8,540,875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8,710,352</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(2,702,053)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(2,809,863)</w:t>
            </w:r>
          </w:p>
        </w:tc>
      </w:tr>
      <w:tr>
        <w:trPr>
          <w:trHeight w:val="223"/>
        </w:trPr>
        <w:tc>
          <w:tcPr>
            <w:tcW w:w="66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5,838,822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5,900,489</w:t>
            </w: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140" w:hanging="484"/>
        <w:spacing w:after="0" w:line="302" w:lineRule="auto"/>
        <w:tabs>
          <w:tab w:leader="none" w:pos="103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and furnishings and accumulated depreciation include the cost and accumulated amortization of ROU assets in connection with finance leases at March 31, 2024 and December 31, 2023 (See Note 8—Leases).</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was $64,759 and $67,064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(Loss) gain on sale or write-down of assets, net for the three months ended March 31, 2024 and 2023 consist of the following:</w:t>
      </w:r>
    </w:p>
    <w:p>
      <w:pPr>
        <w:spacing w:after="0" w:line="184"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53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write-down of assets(1)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land sales, net(2)</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r>
      <w:tr>
        <w:trPr>
          <w:trHeight w:val="248"/>
        </w:trPr>
        <w:tc>
          <w:tcPr>
            <w:tcW w:w="5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140" w:right="240" w:hanging="484"/>
        <w:spacing w:after="0" w:line="281" w:lineRule="auto"/>
        <w:tabs>
          <w:tab w:leader="none" w:pos="96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loss of $35,987 on Santa Monica Place for the three months ended March 31, 2024. The impairment loss was due to the reduction of the estimated holding period of the property (See Note 10—Mortgage Notes Payable). The remaining amounts for the three months ended March 31, 2024 and 2023 mainly pertain to the write off of development costs.</w:t>
      </w:r>
    </w:p>
    <w:p>
      <w:pPr>
        <w:spacing w:after="0" w:line="96" w:lineRule="exact"/>
        <w:rPr>
          <w:rFonts w:ascii="Times New Roman" w:cs="Times New Roman" w:eastAsia="Times New Roman" w:hAnsi="Times New Roman"/>
          <w:sz w:val="14"/>
          <w:szCs w:val="14"/>
          <w:color w:val="auto"/>
        </w:rPr>
      </w:pPr>
    </w:p>
    <w:p>
      <w:pPr>
        <w:ind w:left="960" w:hanging="304"/>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16—Dispositions.</w:t>
      </w:r>
    </w:p>
    <w:p>
      <w:pPr>
        <w:spacing w:after="0" w:line="16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three months ended March 31, 2024 and 2023, as described above:</w:t>
      </w:r>
    </w:p>
    <w:p>
      <w:pPr>
        <w:spacing w:after="0" w:line="30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7"/>
                <w:szCs w:val="17"/>
                <w:color w:val="auto"/>
              </w:rPr>
            </w:pPr>
          </w:p>
        </w:tc>
        <w:tc>
          <w:tcPr>
            <w:tcW w:w="17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280" w:type="dxa"/>
            <w:vAlign w:val="bottom"/>
          </w:tcPr>
          <w:p>
            <w:pPr>
              <w:spacing w:after="0"/>
              <w:rPr>
                <w:sz w:val="17"/>
                <w:szCs w:val="17"/>
                <w:color w:val="auto"/>
              </w:rPr>
            </w:pPr>
          </w:p>
        </w:tc>
        <w:tc>
          <w:tcPr>
            <w:tcW w:w="14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6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Total Fair Value</w:t>
            </w:r>
          </w:p>
        </w:tc>
        <w:tc>
          <w:tcPr>
            <w:tcW w:w="10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9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0" w:type="dxa"/>
            <w:vAlign w:val="bottom"/>
          </w:tcPr>
          <w:p>
            <w:pPr>
              <w:spacing w:after="0"/>
              <w:rPr>
                <w:sz w:val="1"/>
                <w:szCs w:val="1"/>
                <w:color w:val="auto"/>
              </w:rPr>
            </w:pPr>
          </w:p>
        </w:tc>
      </w:tr>
      <w:tr>
        <w:trPr>
          <w:trHeight w:val="23"/>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line="20" w:lineRule="exact"/>
              <w:rPr>
                <w:sz w:val="1"/>
                <w:szCs w:val="1"/>
                <w:color w:val="auto"/>
              </w:rPr>
            </w:pPr>
          </w:p>
        </w:tc>
        <w:tc>
          <w:tcPr>
            <w:tcW w:w="17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line="20" w:lineRule="exact"/>
              <w:rPr>
                <w:sz w:val="1"/>
                <w:szCs w:val="1"/>
                <w:color w:val="auto"/>
              </w:rPr>
            </w:pPr>
          </w:p>
        </w:tc>
        <w:tc>
          <w:tcPr>
            <w:tcW w:w="14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line="20" w:lineRule="exact"/>
              <w:rPr>
                <w:sz w:val="1"/>
                <w:szCs w:val="1"/>
                <w:color w:val="auto"/>
              </w:rPr>
            </w:pPr>
          </w:p>
        </w:tc>
      </w:tr>
      <w:tr>
        <w:trPr>
          <w:trHeight w:val="238"/>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100" w:type="dxa"/>
            <w:vAlign w:val="bottom"/>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297,600</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300" w:firstLine="445"/>
        <w:spacing w:after="0" w:line="312" w:lineRule="auto"/>
        <w:rPr>
          <w:sz w:val="20"/>
          <w:szCs w:val="20"/>
          <w:color w:val="auto"/>
        </w:rPr>
      </w:pPr>
      <w:r>
        <w:rPr>
          <w:rFonts w:ascii="Times New Roman" w:cs="Times New Roman" w:eastAsia="Times New Roman" w:hAnsi="Times New Roman"/>
          <w:sz w:val="17"/>
          <w:szCs w:val="17"/>
          <w:color w:val="auto"/>
        </w:rPr>
        <w:t>The fair value (Level 3 measurement) related to the 2024 impairment is based upon an income approach, using an estimated terminal capitalization rate of 7.3%, a discount rate of 9.0% and market rents per square foot of $20 to $200. The fair value is sensitive to these significant unobservable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62"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$7,267 and $4,824 at March 31, 2024 and December 31, 2023, respectively. Also included in tenant and other receivables, net are accrued percentage rents of $2,457 and $15,076 at March 31, 2024 and December 31, 2023, respectively, and a deferred rent receivable due to straight-line rent adjustments of $102,058 and $105,260 at March 31, 2024 and December 31, 2023,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60" w:lineRule="exact"/>
        <w:rPr>
          <w:sz w:val="20"/>
          <w:szCs w:val="20"/>
          <w:color w:val="auto"/>
        </w:rPr>
      </w:pPr>
    </w:p>
    <w:p>
      <w:pPr>
        <w:ind w:right="160" w:firstLine="445"/>
        <w:spacing w:after="0" w:line="254"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ectPr>
          <w:pgSz w:w="11900" w:h="16838" w:orient="portrait"/>
          <w:cols w:equalWidth="0" w:num="1">
            <w:col w:w="11340"/>
          </w:cols>
          <w:pgMar w:left="32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65" w:right="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leasing revenue for the three months ended March 31, 2024 and 2023:</w:t>
      </w:r>
    </w:p>
    <w:p>
      <w:pPr>
        <w:sectPr>
          <w:pgSz w:w="11900" w:h="16838" w:orient="portrait"/>
          <w:cols w:equalWidth="0" w:num="1">
            <w:col w:w="11120"/>
          </w:cols>
          <w:pgMar w:left="320" w:top="265" w:right="459" w:bottom="1440" w:gutter="0" w:footer="0" w:header="0"/>
        </w:sectPr>
      </w:pPr>
    </w:p>
    <w:p>
      <w:pPr>
        <w:spacing w:after="0" w:line="195"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4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revenue—fixed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140,506</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revenue—variable payments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57,516</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3"/>
        </w:trPr>
        <w:tc>
          <w:tcPr>
            <w:tcW w:w="4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199,045</w:t>
            </w:r>
          </w:p>
        </w:tc>
      </w:tr>
      <w:tr>
        <w:trPr>
          <w:trHeight w:val="21"/>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Twelve months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552894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28945" cy="154305"/>
                    </a:xfrm>
                    <a:prstGeom prst="rect">
                      <a:avLst/>
                    </a:prstGeom>
                    <a:noFill/>
                  </pic:spPr>
                </pic:pic>
              </a:graphicData>
            </a:graphic>
          </wp:anchor>
        </w:drawing>
      </w:r>
    </w:p>
    <w:p>
      <w:pPr>
        <w:spacing w:after="0" w:line="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2025</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552894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28945" cy="14605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552894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28945" cy="14605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2029</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552894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289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79" w:hanging="779"/>
        <w:spacing w:after="0"/>
        <w:tabs>
          <w:tab w:leader="none" w:pos="77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478,983</w:t>
      </w:r>
    </w:p>
    <w:p>
      <w:pPr>
        <w:spacing w:after="0" w:line="38" w:lineRule="exact"/>
        <w:rPr>
          <w:rFonts w:ascii="Times New Roman" w:cs="Times New Roman" w:eastAsia="Times New Roman" w:hAnsi="Times New Roman"/>
          <w:sz w:val="17"/>
          <w:szCs w:val="17"/>
          <w:color w:val="auto"/>
        </w:rPr>
      </w:pPr>
    </w:p>
    <w:p>
      <w:pPr>
        <w:ind w:left="7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400,692</w:t>
      </w:r>
    </w:p>
    <w:p>
      <w:pPr>
        <w:spacing w:after="0" w:line="34" w:lineRule="exact"/>
        <w:rPr>
          <w:rFonts w:ascii="Times New Roman" w:cs="Times New Roman" w:eastAsia="Times New Roman" w:hAnsi="Times New Roman"/>
          <w:sz w:val="17"/>
          <w:szCs w:val="17"/>
          <w:color w:val="auto"/>
        </w:rPr>
      </w:pPr>
    </w:p>
    <w:p>
      <w:pPr>
        <w:ind w:left="7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325,776</w:t>
      </w:r>
    </w:p>
    <w:p>
      <w:pPr>
        <w:spacing w:after="0" w:line="34" w:lineRule="exact"/>
        <w:rPr>
          <w:rFonts w:ascii="Times New Roman" w:cs="Times New Roman" w:eastAsia="Times New Roman" w:hAnsi="Times New Roman"/>
          <w:sz w:val="17"/>
          <w:szCs w:val="17"/>
          <w:color w:val="auto"/>
        </w:rPr>
      </w:pPr>
    </w:p>
    <w:p>
      <w:pPr>
        <w:ind w:left="7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248,924</w:t>
      </w:r>
    </w:p>
    <w:p>
      <w:pPr>
        <w:spacing w:after="0" w:line="34" w:lineRule="exact"/>
        <w:rPr>
          <w:rFonts w:ascii="Times New Roman" w:cs="Times New Roman" w:eastAsia="Times New Roman" w:hAnsi="Times New Roman"/>
          <w:sz w:val="17"/>
          <w:szCs w:val="17"/>
          <w:color w:val="auto"/>
        </w:rPr>
      </w:pPr>
    </w:p>
    <w:p>
      <w:pPr>
        <w:ind w:left="7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195,660</w:t>
      </w:r>
    </w:p>
    <w:p>
      <w:pPr>
        <w:spacing w:after="0" w:line="34" w:lineRule="exact"/>
        <w:rPr>
          <w:rFonts w:ascii="Times New Roman" w:cs="Times New Roman" w:eastAsia="Times New Roman" w:hAnsi="Times New Roman"/>
          <w:sz w:val="17"/>
          <w:szCs w:val="17"/>
          <w:color w:val="auto"/>
        </w:rPr>
      </w:pPr>
    </w:p>
    <w:p>
      <w:pPr>
        <w:ind w:left="7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804,126</w:t>
      </w:r>
    </w:p>
    <w:p>
      <w:pPr>
        <w:spacing w:after="0" w:line="43" w:lineRule="exact"/>
        <w:rPr>
          <w:sz w:val="20"/>
          <w:szCs w:val="20"/>
          <w:color w:val="auto"/>
        </w:rPr>
      </w:pPr>
    </w:p>
    <w:p>
      <w:pPr>
        <w:ind w:left="639" w:hanging="639"/>
        <w:spacing w:after="0"/>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2,454,161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048" w:lineRule="exact"/>
        <w:rPr>
          <w:sz w:val="20"/>
          <w:szCs w:val="20"/>
          <w:color w:val="auto"/>
        </w:rPr>
      </w:pPr>
    </w:p>
    <w:p>
      <w:pPr>
        <w:sectPr>
          <w:pgSz w:w="11900" w:h="16838" w:orient="portrait"/>
          <w:cols w:equalWidth="0" w:num="2">
            <w:col w:w="7100" w:space="621"/>
            <w:col w:w="3399"/>
          </w:cols>
          <w:pgMar w:left="320" w:top="265" w:right="459" w:bottom="1440" w:gutter="0" w:footer="0" w:header="0"/>
          <w:type w:val="continuous"/>
        </w:sect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 In addition, the Company has five finance leases that expire at various times through 2025.</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months ended March 31, 2024 and 2023:</w:t>
      </w:r>
    </w:p>
    <w:p>
      <w:pPr>
        <w:spacing w:after="0" w:line="178"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44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1"/>
                <w:szCs w:val="11"/>
                <w:color w:val="auto"/>
              </w:rPr>
            </w:pPr>
          </w:p>
        </w:tc>
        <w:tc>
          <w:tcPr>
            <w:tcW w:w="13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2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5"/>
        </w:trPr>
        <w:tc>
          <w:tcPr>
            <w:tcW w:w="40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8,606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9,478</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9,478</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11,743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11,914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8,303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74,831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74,831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10,878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129,859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(55,300)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(56,475)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71,723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73,384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10,605</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years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years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years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 years</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40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53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40" w:type="dxa"/>
            <w:vAlign w:val="bottom"/>
            <w:tcBorders>
              <w:bottom w:val="single" w:sz="8" w:color="CCEEFF"/>
            </w:tcBorders>
          </w:tcPr>
          <w:p>
            <w:pPr>
              <w:spacing w:after="0"/>
              <w:rPr>
                <w:sz w:val="17"/>
                <w:szCs w:val="17"/>
                <w:color w:val="auto"/>
              </w:rPr>
            </w:pPr>
          </w:p>
        </w:tc>
        <w:tc>
          <w:tcPr>
            <w:tcW w:w="3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Above-market leases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391,374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4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80" w:hanging="324"/>
        <w:spacing w:after="0" w:line="271" w:lineRule="auto"/>
        <w:tabs>
          <w:tab w:leader="none" w:pos="9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includes $40,856 and $39,540 relating to in-place lease values, leasing commissions and legal costs at March 31, 2024 and December 31, 2023, respectively. Amortization expense of in-place lease values, leasing commissions and legal costs was $1,776 and $1,909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6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40" w:type="dxa"/>
            <w:vAlign w:val="bottom"/>
          </w:tcPr>
          <w:p>
            <w:pPr>
              <w:spacing w:after="0"/>
              <w:rPr>
                <w:sz w:val="16"/>
                <w:szCs w:val="16"/>
                <w:color w:val="auto"/>
              </w:rPr>
            </w:pPr>
          </w:p>
        </w:tc>
        <w:tc>
          <w:tcPr>
            <w:tcW w:w="55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rPr>
              <w:t>61,974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66,002</w:t>
            </w:r>
          </w:p>
        </w:tc>
      </w:tr>
      <w:tr>
        <w:trPr>
          <w:trHeight w:val="229"/>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(35,046)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(36,926)</w:t>
            </w:r>
          </w:p>
        </w:tc>
      </w:tr>
      <w:tr>
        <w:trPr>
          <w:trHeight w:val="223"/>
        </w:trPr>
        <w:tc>
          <w:tcPr>
            <w:tcW w:w="6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26,928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rPr>
              <w:t>29,076</w:t>
            </w:r>
          </w:p>
        </w:tc>
      </w:tr>
      <w:tr>
        <w:trPr>
          <w:trHeight w:val="20"/>
        </w:trPr>
        <w:tc>
          <w:tcPr>
            <w:tcW w:w="640" w:type="dxa"/>
            <w:vAlign w:val="bottom"/>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rPr>
              <w:t>84,430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85,174</w:t>
            </w:r>
          </w:p>
        </w:tc>
      </w:tr>
      <w:tr>
        <w:trPr>
          <w:trHeight w:val="230"/>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(38,955)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(37,490)</w:t>
            </w:r>
          </w:p>
        </w:tc>
      </w:tr>
      <w:tr>
        <w:trPr>
          <w:trHeight w:val="223"/>
        </w:trPr>
        <w:tc>
          <w:tcPr>
            <w:tcW w:w="6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rPr>
              <w:t>47,684</w:t>
            </w:r>
          </w:p>
        </w:tc>
      </w:tr>
      <w:tr>
        <w:trPr>
          <w:trHeight w:val="21"/>
        </w:trPr>
        <w:tc>
          <w:tcPr>
            <w:tcW w:w="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64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47" w:lineRule="exact"/>
        <w:rPr>
          <w:sz w:val="20"/>
          <w:szCs w:val="20"/>
          <w:color w:val="auto"/>
        </w:rPr>
      </w:pPr>
    </w:p>
    <w:p>
      <w:pPr>
        <w:ind w:left="940" w:hanging="284"/>
        <w:spacing w:after="0"/>
        <w:tabs>
          <w:tab w:leader="none" w:pos="94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Below-market leases are included in other accrued liabilities.</w:t>
      </w:r>
    </w:p>
    <w:p>
      <w:pPr>
        <w:spacing w:after="0" w:line="200" w:lineRule="exact"/>
        <w:rPr>
          <w:rFonts w:ascii="Times New Roman" w:cs="Times New Roman" w:eastAsia="Times New Roman" w:hAnsi="Times New Roman"/>
          <w:sz w:val="14"/>
          <w:szCs w:val="14"/>
          <w:color w:val="auto"/>
        </w:rPr>
      </w:pPr>
    </w:p>
    <w:p>
      <w:pPr>
        <w:spacing w:after="0" w:line="34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Mortgage notes payable at March 31, 2024 and December 31, 2023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9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Debt</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Rate(2)</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8"/>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Chandler Fashion Center(5)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255,924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Danbury Fair Mall(6)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District Philadelphia(7)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Freehold Raceway Mall(5)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399,044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 Acres Mall(9)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359,264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536,956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Oaks, The(10)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151,496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Queens Center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Monica Place(11)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297,474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 Valley, Mall of</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226,910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4,098,705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4,136,136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820" w:hanging="407"/>
        <w:spacing w:after="0" w:line="302" w:lineRule="auto"/>
        <w:tabs>
          <w:tab w:leader="none" w:pos="8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$23,333 and $21,148 at March 31, 2024 and December 31, 2023, respectively.</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premium and deferred finance costs.</w:t>
      </w:r>
    </w:p>
    <w:p>
      <w:pPr>
        <w:spacing w:after="0" w:line="149"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ectPr>
          <w:pgSz w:w="11900" w:h="16838" w:orient="portrait"/>
          <w:cols w:equalWidth="0" w:num="1">
            <w:col w:w="10980"/>
          </w:cols>
          <w:pgMar w:left="320" w:top="26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65" w:right="5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321" w:lineRule="exact"/>
        <w:rPr>
          <w:rFonts w:ascii="Times New Roman" w:cs="Times New Roman" w:eastAsia="Times New Roman" w:hAnsi="Times New Roman"/>
          <w:sz w:val="18"/>
          <w:szCs w:val="18"/>
          <w:b w:val="1"/>
          <w:bCs w:val="1"/>
          <w:color w:val="auto"/>
        </w:rPr>
      </w:pPr>
    </w:p>
    <w:p>
      <w:pPr>
        <w:ind w:left="820" w:right="100" w:hanging="407"/>
        <w:spacing w:after="0" w:line="302" w:lineRule="auto"/>
        <w:tabs>
          <w:tab w:leader="none" w:pos="8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94" w:lineRule="exact"/>
        <w:rPr>
          <w:rFonts w:ascii="Times New Roman" w:cs="Times New Roman" w:eastAsia="Times New Roman" w:hAnsi="Times New Roman"/>
          <w:sz w:val="14"/>
          <w:szCs w:val="14"/>
          <w:color w:val="auto"/>
        </w:rPr>
      </w:pPr>
    </w:p>
    <w:p>
      <w:pPr>
        <w:ind w:left="820" w:right="200" w:hanging="407"/>
        <w:spacing w:after="0" w:line="271" w:lineRule="auto"/>
        <w:tabs>
          <w:tab w:leader="none" w:pos="8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the Company's joint venture in Chandler Freehold (See Note 12—Financing Arrangement). On November 16, 2023, the Company acquired the partner's 49.9% interest in Freehold Raceway Mall for $5.6 million and assumed the partner's share of debt. The Company now owns 100% of Freehold Raceway Mall (See Note 15—Acquisitions).</w:t>
      </w:r>
    </w:p>
    <w:p>
      <w:pPr>
        <w:spacing w:after="0" w:line="116" w:lineRule="exact"/>
        <w:rPr>
          <w:rFonts w:ascii="Times New Roman" w:cs="Times New Roman" w:eastAsia="Times New Roman" w:hAnsi="Times New Roman"/>
          <w:sz w:val="14"/>
          <w:szCs w:val="14"/>
          <w:color w:val="auto"/>
        </w:rPr>
      </w:pPr>
    </w:p>
    <w:p>
      <w:pPr>
        <w:ind w:left="820" w:right="160" w:hanging="407"/>
        <w:spacing w:after="0" w:line="282" w:lineRule="auto"/>
        <w:tabs>
          <w:tab w:leader="none" w:pos="8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loan with a $155,000 loan that bears interest at a fixed rate of 6.39%, is interest only during the majority of the loan term and matures on February 6, 2034.</w:t>
      </w:r>
    </w:p>
    <w:p>
      <w:pPr>
        <w:spacing w:after="0" w:line="107" w:lineRule="exact"/>
        <w:rPr>
          <w:rFonts w:ascii="Times New Roman" w:cs="Times New Roman" w:eastAsia="Times New Roman" w:hAnsi="Times New Roman"/>
          <w:sz w:val="14"/>
          <w:szCs w:val="14"/>
          <w:color w:val="auto"/>
        </w:rPr>
      </w:pPr>
    </w:p>
    <w:p>
      <w:pPr>
        <w:jc w:val="both"/>
        <w:ind w:left="820" w:hanging="407"/>
        <w:spacing w:after="0" w:line="271" w:lineRule="auto"/>
        <w:tabs>
          <w:tab w:leader="none" w:pos="8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20, 2023, the Company repaid $26,107 of the outstanding loan balance and exercised its one-year extension option of the loan to January 22, 2024. The interest rate was SOFR plus 3.60%. On January 22, 2024, the Company repaid the majority of the loan balance and the remaining $8,171 matured on April 21, 2024 and was paid in full on April 19, 2024.</w:t>
      </w:r>
    </w:p>
    <w:p>
      <w:pPr>
        <w:spacing w:after="0" w:line="116" w:lineRule="exact"/>
        <w:rPr>
          <w:rFonts w:ascii="Times New Roman" w:cs="Times New Roman" w:eastAsia="Times New Roman" w:hAnsi="Times New Roman"/>
          <w:sz w:val="14"/>
          <w:szCs w:val="14"/>
          <w:color w:val="auto"/>
        </w:rPr>
      </w:pPr>
    </w:p>
    <w:p>
      <w:pPr>
        <w:ind w:left="820" w:right="180" w:hanging="407"/>
        <w:spacing w:after="0" w:line="302" w:lineRule="auto"/>
        <w:tabs>
          <w:tab w:leader="none" w:pos="8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October 6, 2023, the loan was in default and the Company was in negotiations with the lender on the terms of this non-recourse loan. On March 19, 2024, the Company closed on a three-year extension of the loan to October 6, 2026. The interest rate remained unchanged at 5.90%.</w:t>
      </w:r>
    </w:p>
    <w:p>
      <w:pPr>
        <w:spacing w:after="0" w:line="80" w:lineRule="exact"/>
        <w:rPr>
          <w:rFonts w:ascii="Times New Roman" w:cs="Times New Roman" w:eastAsia="Times New Roman" w:hAnsi="Times New Roman"/>
          <w:sz w:val="14"/>
          <w:szCs w:val="14"/>
          <w:color w:val="auto"/>
        </w:rPr>
      </w:pPr>
    </w:p>
    <w:p>
      <w:pPr>
        <w:ind w:left="820" w:right="60" w:hanging="407"/>
        <w:spacing w:after="0" w:line="302" w:lineRule="auto"/>
        <w:tabs>
          <w:tab w:leader="none" w:pos="81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 2023, the Company closed on a five-year $370,000 combined refinance of Green Acres Mall and Green Acres Commons. The new interest only loan bears interest at a fixed rate of 5.90% and matures on January 6, 2028.</w:t>
      </w:r>
    </w:p>
    <w:p>
      <w:pPr>
        <w:spacing w:after="0" w:line="80" w:lineRule="exact"/>
        <w:rPr>
          <w:rFonts w:ascii="Times New Roman" w:cs="Times New Roman" w:eastAsia="Times New Roman" w:hAnsi="Times New Roman"/>
          <w:sz w:val="14"/>
          <w:szCs w:val="14"/>
          <w:color w:val="auto"/>
        </w:rPr>
      </w:pPr>
    </w:p>
    <w:p>
      <w:pPr>
        <w:ind w:left="820" w:right="40" w:hanging="407"/>
        <w:spacing w:after="0" w:line="302" w:lineRule="auto"/>
        <w:tabs>
          <w:tab w:leader="none" w:pos="817"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the Company closed on a two-year extension of the loan to June 5, 2024 at a new fixed interest rate of 5.25%. The Company repaid $5,000 of the outstanding loan balance at closing. On June 5, 2023, the Company repaid $10,000 of the outstanding loan balance.</w:t>
      </w:r>
    </w:p>
    <w:p>
      <w:pPr>
        <w:spacing w:after="0" w:line="94" w:lineRule="exact"/>
        <w:rPr>
          <w:rFonts w:ascii="Times New Roman" w:cs="Times New Roman" w:eastAsia="Times New Roman" w:hAnsi="Times New Roman"/>
          <w:sz w:val="14"/>
          <w:szCs w:val="14"/>
          <w:color w:val="auto"/>
        </w:rPr>
      </w:pPr>
    </w:p>
    <w:p>
      <w:pPr>
        <w:ind w:left="820" w:hanging="407"/>
        <w:spacing w:after="0" w:line="266" w:lineRule="auto"/>
        <w:tabs>
          <w:tab w:leader="none" w:pos="811"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2022, the Company closed on a three-year extension of the loan to December 9, 2025, including extension options. The interest rate remained unchanged at LIBOR plus 1.48%, and has converted to 1-month Term SOFR plus 1.52% effective July 9, 2023. The loan is covered by an interest rate cap agreement that effectively prevented LIBOR from exceeding 4.0% during the period ending December 9, 2023. The interest rate cap agreement was converted to 1-month Term SOFR effective July 9, 2023. The interest rate cap agreement has since been extended with a 4% strike rate to December 9, 2024. Effective April 9, 2024, the loan is in default. The Company is in negotiations with the lender on the terms of this non-recourse loan.</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are non-recourse to the Company.</w:t>
      </w:r>
    </w:p>
    <w:p>
      <w:pPr>
        <w:spacing w:after="0" w:line="158"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line of credit or with cash on hand, with the exception of Santa Monica Place as noted above.</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interest expense capitalized was $5,077 and $4,844 for the three months ended March 31, 2024 and 2023,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March 31, 2024 and December 31, 2023 was $3,834,621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$3,863,997, respectively, based on current interest rates for comparable loans. Fair value was determined using a present value model and an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included a credit value adjustment based on the estimated value of the property that serves as collateral for the underlying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60"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Previously, the Company had a $525,000 revolving loan facility, which was scheduled to mature on April 14, 2024. On September 11, 2023, the Company and the Operating Partnership entered into an amended and restated credit agreement, which amended and restated their prior credit agreement, and provides for an aggregate $650,000 revolving loan facility that matures on February 1, 2027, with a one-year extension option. The revolving loan facility can be expanded up to $950,000, subject to receipt of lender commitments and other conditions. Concurrently with the entry into the amended and restated credit agreement, the Company drew $152,000 of the amount available under the revolving loan facility and used the proceeds to repay in full amounts outstanding under its prior credit facility.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 As of March 31, 2024, the borrowing rate was SOFR plus a spread of 2.35%. As of March 31, 2024, borrowings under the credit facility were $185,000 less unamortized deferred finance costs of $14,506 for the revolving loan facility at a total effective interest rate of 8.33%. As of March 31, 2024, the Company’s availability under the revolving loan facility for additional borrowings was $464,921. The estimated fair value (Level 2 measurement) of borrowings under the credit facility at March 31, 2024 was $191,138 for the revolving loan facility based on a present value model using a credit interest rate spread offered to the Company for comparable debt.</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and December 31, 2023, the Company was in compliance with all applicable financial loan 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62" w:lineRule="exact"/>
        <w:rPr>
          <w:sz w:val="20"/>
          <w:szCs w:val="20"/>
          <w:color w:val="auto"/>
        </w:rPr>
      </w:pPr>
    </w:p>
    <w:p>
      <w:pPr>
        <w:ind w:right="340" w:firstLine="445"/>
        <w:spacing w:after="0" w:line="258"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1,402,000 square foot regional shopping center in Chandler, Arizona, and Freehold Raceway Mall, a 1,546,000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w:t>
      </w:r>
    </w:p>
    <w:p>
      <w:pPr>
        <w:spacing w:after="0" w:line="102"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On November 16, 2023, the Company acquired the 49.9% ownership interest in Freehold Raceway Mall (See Note 15—Acquisitions). As a result, Freehold Raceway Mall is no longer part of the financing arrangement and is 100% owned by the Company. References to Chandler Freehold after November 16, 2023 shall be deemed to only refer to Chandler Fashion Center. In connection with the acquisition of the 49.9% ownership interest, the Company recorded the $5,587 purchase amount as a reduction to the financing arrangement obligation.</w:t>
      </w:r>
    </w:p>
    <w:p>
      <w:pPr>
        <w:spacing w:after="0" w:line="11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fair value (Level 3 measurement) of the financing arrangement obligation at March 31, 2024 and December 31, 2023 was based upon a terminal capitalization rate of approximately 6.75% and 6.50%, respectively, a discount rate at both March 31, 2024 and December 31, 2023 of 8.00%, and market rents per square foot of $45 to $240.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related party interest expense (income) in the Company's consolidated statements of operations.</w:t>
      </w:r>
    </w:p>
    <w:p>
      <w:pPr>
        <w:spacing w:after="0" w:line="120"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related party interest expense (income) in the Company's consolidated statements of operations in connection with the financing arrangement as follows: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 (Continued)</w:t>
      </w:r>
    </w:p>
    <w:p>
      <w:pPr>
        <w:spacing w:after="0" w:line="200" w:lineRule="exact"/>
        <w:rPr>
          <w:sz w:val="20"/>
          <w:szCs w:val="20"/>
          <w:color w:val="auto"/>
        </w:rPr>
      </w:pPr>
    </w:p>
    <w:p>
      <w:pPr>
        <w:spacing w:after="0" w:line="360"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6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equal to the partner's share of net income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w:t>
            </w:r>
          </w:p>
        </w:tc>
      </w:tr>
      <w:tr>
        <w:trPr>
          <w:trHeight w:val="223"/>
        </w:trPr>
        <w:tc>
          <w:tcPr>
            <w:tcW w:w="6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w:t>
            </w:r>
          </w:p>
        </w:tc>
      </w:tr>
      <w:tr>
        <w:trPr>
          <w:trHeight w:val="21"/>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4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allocates net (loss) income of the Operating Partnership based on the weighted average ownership interest during the period. The net (loss)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March 31, 2024 and December 31, 2023. The remaining 4% limited partnership interest as of March 31, 2024 and December 31, 2023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March 31, 2024 and December 31, 2023, the aggregate redemption value of the then-outstanding OP Units not owned by the Company was $169,859 and $158,157, respectively.</w:t>
      </w:r>
    </w:p>
    <w:p>
      <w:pPr>
        <w:spacing w:after="0" w:line="12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0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Offerings</w:t>
      </w:r>
    </w:p>
    <w:p>
      <w:pPr>
        <w:spacing w:after="0" w:line="160"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“ATM Program,” the Company entered into an equity distribution agreement with certain sales agents pursuant to which the Company may issue and sell shares of its common stock having an aggregate offering price of up to $500,000 under the ATM Program.</w:t>
      </w:r>
    </w:p>
    <w:p>
      <w:pPr>
        <w:spacing w:after="0" w:line="95"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did not issue any shares of common stock under the ATM Program. As of March 31, 2024, $151,699 remained available to be sold under the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8260" w:hanging="452"/>
        <w:spacing w:after="0" w:line="449" w:lineRule="auto"/>
        <w:tabs>
          <w:tab w:leader="none" w:pos="284"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(Continued) </w:t>
      </w:r>
      <w:r>
        <w:rPr>
          <w:rFonts w:ascii="Times New Roman" w:cs="Times New Roman" w:eastAsia="Times New Roman" w:hAnsi="Times New Roman"/>
          <w:sz w:val="17"/>
          <w:szCs w:val="17"/>
          <w:i w:val="1"/>
          <w:iCs w:val="1"/>
          <w:color w:val="auto"/>
        </w:rPr>
        <w:t>Stock Buyback Program</w:t>
      </w:r>
    </w:p>
    <w:p>
      <w:pPr>
        <w:spacing w:after="0" w:line="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three months ended March 31, 2024 or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w:t>
      </w:r>
    </w:p>
    <w:p>
      <w:pPr>
        <w:spacing w:after="0" w:line="9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allocation of the fair value of the former Sears parcels at Chandler Fashion Center, Danbury Fair Mall, Freehold Raceway Mall, Los Cerritos Center and Washington Square:</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39,359</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93,400</w:t>
            </w:r>
          </w:p>
        </w:tc>
      </w:tr>
      <w:tr>
        <w:trPr>
          <w:trHeight w:val="20"/>
        </w:trPr>
        <w:tc>
          <w:tcPr>
            <w:tcW w:w="7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On November 16, 2023, the Company acquired its joint venture partner's 49.9% ownership interest in Freehold Raceway Mall for $5,587 and assumed its joint venture partner's share of debt. The Company now owns 100% of this property. Prior to November 16, 2023, the Company accounted for its investment in Freehold Raceway Mall as part of a financing arrangement (See Note 12—Financing Arrangement).</w:t>
      </w:r>
    </w:p>
    <w:p>
      <w:pPr>
        <w:spacing w:after="0" w:line="108"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VIE in its consolidated financial statements (See Note 2—Summary of Significant Accounting Policies).</w:t>
      </w:r>
    </w:p>
    <w:p>
      <w:pPr>
        <w:sectPr>
          <w:pgSz w:w="11900" w:h="16838" w:orient="portrait"/>
          <w:cols w:equalWidth="0" w:num="1">
            <w:col w:w="11180"/>
          </w:cols>
          <w:pgMar w:left="320" w:top="2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w:t>
      </w:r>
    </w:p>
    <w:p>
      <w:pPr>
        <w:spacing w:after="0" w:line="200" w:lineRule="exact"/>
        <w:rPr>
          <w:sz w:val="20"/>
          <w:szCs w:val="20"/>
          <w:color w:val="auto"/>
        </w:rPr>
      </w:pPr>
    </w:p>
    <w:p>
      <w:pPr>
        <w:spacing w:after="0" w:line="232"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On May 2, 2023, the Company sold The Marketplace at Flagstaff, a 268,000 square foot power center in Flagstaff, Arizona, for $23,500, which resulted in a gain on sale of assets of $10,349. The Company used the net proceeds to pay down debt.</w:t>
      </w:r>
    </w:p>
    <w:p>
      <w:pPr>
        <w:spacing w:after="0" w:line="81"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On July 17, 2023, the Company sold Superstition Springs Power Center, a 204,000 square foot power center in Mesa, Arizona, for $5,634, which resulted in a gain on sale of assets of $1,903. The Company used the net proceeds to pay down debt.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did not repay the loan on Towne Mall on its maturity date of November 1, 2022, and completed transition of the property to a receiver.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4, 2023, Towne Mall was sold by the receiver for $9,500, resulting in a gain on extinguishment of debt of $8,208.</w:t>
      </w:r>
    </w:p>
    <w:p>
      <w:pPr>
        <w:spacing w:after="0" w:line="13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have any land sales. For the three months ended March 31, 2023, the Company sold various land parcels in separate transactions, resulting in gains on sale of land of $4,374. The Company used its share of the proceeds from these sales to pay down debt and for other general corporate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4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2024, the Company was contingently liable for $40,899 in letters of credit guaranteeing performance by the Company of certain obligations relating to the Centers. As of March 31, 2024, $40,820 of these letters of credit were secured by restricted cash. The Company does not believe that these letters of credit will result in a liability to the Company.</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March 31, 2024, the Company had $12,539 in outstanding obligations, which it believes will be settled in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4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4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36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48"/>
        </w:trPr>
        <w:tc>
          <w:tcPr>
            <w:tcW w:w="3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Interest expense (income) from related party transactions includes $4,439 and $(9,407) for the three months ended March 31, 2024 and 2023, respectively, in connection with the financing arrangement (See Note 12—Financing Arrangement).</w:t>
      </w:r>
    </w:p>
    <w:p>
      <w:pPr>
        <w:spacing w:after="0" w:line="94" w:lineRule="exact"/>
        <w:rPr>
          <w:sz w:val="20"/>
          <w:szCs w:val="20"/>
          <w:color w:val="auto"/>
        </w:rPr>
      </w:pPr>
    </w:p>
    <w:p>
      <w:pPr>
        <w:ind w:right="780" w:firstLine="445"/>
        <w:spacing w:after="0" w:line="282" w:lineRule="auto"/>
        <w:rPr>
          <w:sz w:val="20"/>
          <w:szCs w:val="20"/>
          <w:color w:val="auto"/>
        </w:rPr>
      </w:pPr>
      <w:r>
        <w:rPr>
          <w:rFonts w:ascii="Times New Roman" w:cs="Times New Roman" w:eastAsia="Times New Roman" w:hAnsi="Times New Roman"/>
          <w:sz w:val="18"/>
          <w:szCs w:val="18"/>
          <w:color w:val="auto"/>
        </w:rPr>
        <w:t>Due from affiliates includes $5,336 and $4,755 of unreimbursed costs and fees from unconsolidated joint ventures due to the Management Companies at March 31, 2024 and December 31,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w:t>
      </w:r>
    </w:p>
    <w:p>
      <w:pPr>
        <w:spacing w:after="0" w:line="148"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ectPr>
          <w:pgSz w:w="11900" w:h="16838" w:orient="portrait"/>
          <w:cols w:equalWidth="0" w:num="1">
            <w:col w:w="11200"/>
          </w:cols>
          <w:pgMar w:left="320" w:top="2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200" w:lineRule="exact"/>
        <w:rPr>
          <w:sz w:val="20"/>
          <w:szCs w:val="20"/>
          <w:color w:val="auto"/>
        </w:rPr>
      </w:pPr>
    </w:p>
    <w:p>
      <w:pPr>
        <w:spacing w:after="0" w:line="326"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granted the following LTI Units: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Fair Value per</w:t>
            </w:r>
          </w:p>
        </w:tc>
        <w:tc>
          <w:tcPr>
            <w:tcW w:w="128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4"/>
        </w:trPr>
        <w:tc>
          <w:tcPr>
            <w:tcW w:w="14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LTI Unit</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305,129</w:t>
            </w:r>
          </w:p>
        </w:tc>
        <w:tc>
          <w:tcPr>
            <w:tcW w:w="16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30"/>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280,637</w:t>
            </w:r>
          </w:p>
        </w:tc>
        <w:tc>
          <w:tcPr>
            <w:tcW w:w="16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138,634</w:t>
            </w:r>
          </w:p>
        </w:tc>
        <w:tc>
          <w:tcPr>
            <w:tcW w:w="1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9"/>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152,346</w:t>
            </w:r>
          </w:p>
        </w:tc>
        <w:tc>
          <w:tcPr>
            <w:tcW w:w="16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3/1/2027</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76,173</w:t>
            </w:r>
          </w:p>
        </w:tc>
        <w:tc>
          <w:tcPr>
            <w:tcW w:w="1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3/1/2028</w:t>
            </w:r>
          </w:p>
        </w:tc>
        <w:tc>
          <w:tcPr>
            <w:tcW w:w="0" w:type="dxa"/>
            <w:vAlign w:val="bottom"/>
          </w:tcPr>
          <w:p>
            <w:pPr>
              <w:spacing w:after="0"/>
              <w:rPr>
                <w:sz w:val="1"/>
                <w:szCs w:val="1"/>
                <w:color w:val="auto"/>
              </w:rPr>
            </w:pPr>
          </w:p>
        </w:tc>
      </w:tr>
      <w:tr>
        <w:trPr>
          <w:trHeight w:val="229"/>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76,173</w:t>
            </w:r>
          </w:p>
        </w:tc>
        <w:tc>
          <w:tcPr>
            <w:tcW w:w="16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3/1/2029</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261,124</w:t>
            </w:r>
          </w:p>
        </w:tc>
        <w:tc>
          <w:tcPr>
            <w:tcW w:w="1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1,290,216</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grant. The fair value (Level 3 measurement) of the performance-based LTI Units granted on February 15, 2024 was estimated on the date of grant using a Monte Carlo Simulation model that assumed an approximate three-year risk-free interest rate of 4.28% and an expected volatility of 45.04%. The fair value (Level 3 measurement) of the performance-based LTI Units granted on March 1, 2024 was estimated on the date of grant using a Monte Carlo Simulation model that assumed an approximate three-year risk-free interest rate of 4.25% and an expected volatility of 45.09%.</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phantom stock units and stock units: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2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LTI Units</w:t>
            </w: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216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11"/>
        </w:trPr>
        <w:tc>
          <w:tcPr>
            <w:tcW w:w="27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25"/>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3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3,547,063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0"/>
        </w:trPr>
        <w:tc>
          <w:tcPr>
            <w:tcW w:w="2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of the vested stock options outstanding:</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212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11"/>
        </w:trPr>
        <w:tc>
          <w:tcPr>
            <w:tcW w:w="3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30"/>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1920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(1) Value represents the weighted average exercise price.</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192"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49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9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r>
      <w:tr>
        <w:trPr>
          <w:trHeight w:val="21"/>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$316 and $1,077 for the three months ended March 31, 2024 and 2023, respectively. Unrecognized compensation costs of share and unit-based plans at March 31, 2024 consisted of $22,617 from LTI Units, $2,155 from stock units and $182 from phantom stock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62"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48"/>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The income tax provision of the TRSs are as follows:</w:t>
            </w:r>
          </w:p>
        </w:tc>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benefit</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0"/>
        </w:trPr>
        <w:tc>
          <w:tcPr>
            <w:tcW w:w="3840" w:type="dxa"/>
            <w:vAlign w:val="bottom"/>
            <w:vMerge w:val="continue"/>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840" w:type="dxa"/>
            <w:vAlign w:val="bottom"/>
            <w:vMerge w:val="continue"/>
          </w:tcPr>
          <w:p>
            <w:pPr>
              <w:spacing w:after="0"/>
              <w:rPr>
                <w:sz w:val="7"/>
                <w:szCs w:val="7"/>
                <w:color w:val="auto"/>
              </w:rPr>
            </w:pPr>
          </w:p>
        </w:tc>
        <w:tc>
          <w:tcPr>
            <w:tcW w:w="4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net operating loss ("NOL") carryforwards generated through the 2017 tax year are scheduled to expire through 2037, beginning in 2031.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$25,248 and $24,024 were included in deferred charges and other assets, net at March 31, 2024 and December 31, 2023, respectively.</w:t>
      </w:r>
    </w:p>
    <w:p>
      <w:pPr>
        <w:spacing w:after="0" w:line="10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March 31, 2024, the Company had no valuation allowance recorded.</w:t>
      </w:r>
    </w:p>
    <w:p>
      <w:pPr>
        <w:spacing w:after="0" w:line="11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tax years 2020 through 2022 remain open to examination by the taxing jurisdictions to which the Company is subject. The Company does not expect that the total amount of unrecognized tax benefit will materially change within the next twelve months.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48"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On April 26, 2024, the Company announced a dividend/distribution of $0.17 per share for common stockholders and OP Unitholders of record on May 20, 2024. All dividends/distributions will be paid 100% in cash on June 3,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660"/>
        <w:spacing w:after="0" w:line="41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IMPORTANT INFORMATION RELATED TO FORWARD-LOOKING STATEMENTS</w:t>
      </w: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20"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63" w:lineRule="exact"/>
        <w:rPr>
          <w:rFonts w:ascii="Times New Roman" w:cs="Times New Roman" w:eastAsia="Times New Roman" w:hAnsi="Times New Roman"/>
          <w:sz w:val="18"/>
          <w:szCs w:val="18"/>
          <w:color w:val="auto"/>
        </w:rPr>
      </w:pPr>
    </w:p>
    <w:p>
      <w:pPr>
        <w:ind w:left="1300" w:right="560" w:hanging="644"/>
        <w:spacing w:after="0" w:line="281"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6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81"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elevated interest rates and inflation and its impact on the financial condition and results of operation of the Company, including as a result of any defaults on mortgage loans, and its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any future pandemic, epidemic or outbreak of any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2023,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6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March 31, 2024, the Operating Partnership owned or had an ownership interest in 43 regional retail centers (including office, hotel and residential space adjacent to these shopping centers), three community/power shopping centers and one redevelopment property. These 47 regional retail centers, community/power shopping centers and one redevelopment property consist of approximately 47 million square feet of gross leasable area ("GLA") and are referred to herein as the "Centers". The Centers consist of consolidated Centers ("Consolidated Centers") and unconsolidated joint venture Centers ("Unconsolidated Joint Venture Centers"), unless the context otherwise requires. The property management, leasing and redevelopment of the Company's portfolio is provided by the Company's seven management companies (collectively referred to herein as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Companies"). The Company is a self-administered and self-managed real estate investment trust ("REIT") and conducts all of its operations through the Operating Partnership and the Management Companies.</w:t>
      </w:r>
    </w:p>
    <w:p>
      <w:pPr>
        <w:spacing w:after="0" w:line="8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months ended March 31, 2024 and 2023. It compares the results of operations for the three months ended March 31, 2024 to the results of operations for the three months ended March 31,</w:t>
      </w:r>
    </w:p>
    <w:p>
      <w:pPr>
        <w:ind w:right="220"/>
        <w:spacing w:after="0" w:line="260" w:lineRule="auto"/>
        <w:rPr>
          <w:sz w:val="20"/>
          <w:szCs w:val="20"/>
          <w:color w:val="auto"/>
        </w:rPr>
      </w:pPr>
      <w:r>
        <w:rPr>
          <w:rFonts w:ascii="Times New Roman" w:cs="Times New Roman" w:eastAsia="Times New Roman" w:hAnsi="Times New Roman"/>
          <w:sz w:val="18"/>
          <w:szCs w:val="18"/>
          <w:color w:val="auto"/>
        </w:rPr>
        <w:t>2023. It also compares the results of operations and cash flows for the three months ended March 31, 2024 to the results of operations and cash flows for the three months ended March 31, 2023.</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May 18, 2023, the Company acquired Seritage Growth Properties' ("Seritage") remaining 50% ownership interest in the MS Portfolio LLC joint venture that owns five former Sears parcels, for a total purchase price of approximately $46.7 million.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(See Note 15—Acquisitions in the Notes to the Consolidated Financial Statements).</w:t>
      </w:r>
    </w:p>
    <w:p>
      <w:pPr>
        <w:spacing w:after="0" w:line="11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November 16, 2023, the Company acquired its joint venture partner’s 49.9% ownership interest in Freehold Raceway Mall for $5.6 million and the assumption of its joint venture partner’s share of debt. The Company now owns 100% of Freehold Raceway Mall. Prior to November 16, 2023, the Company accounted for its investment in Freehold Raceway Mall as part of a financing arrangement (See Note 12 – Financing Arrangement and Note 15 – Acquisitions in the Notes to the Consolidated Financial Statements).</w:t>
      </w:r>
    </w:p>
    <w:p>
      <w:pPr>
        <w:spacing w:after="0" w:line="112"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variable interest entity in its consolidated financial statements (See Note 2 – Summary of Significant Accounting Policies and Note 15 – Acquisitions in the Notes to the Consolidated Financial Statements).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60" w:lineRule="exact"/>
        <w:rPr>
          <w:sz w:val="20"/>
          <w:szCs w:val="20"/>
          <w:color w:val="auto"/>
        </w:rPr>
      </w:pPr>
    </w:p>
    <w:p>
      <w:pPr>
        <w:ind w:right="60" w:firstLine="445"/>
        <w:spacing w:after="0" w:line="312" w:lineRule="auto"/>
        <w:rPr>
          <w:sz w:val="20"/>
          <w:szCs w:val="20"/>
          <w:color w:val="auto"/>
        </w:rPr>
      </w:pPr>
      <w:r>
        <w:rPr>
          <w:rFonts w:ascii="Times New Roman" w:cs="Times New Roman" w:eastAsia="Times New Roman" w:hAnsi="Times New Roman"/>
          <w:sz w:val="17"/>
          <w:szCs w:val="17"/>
          <w:color w:val="auto"/>
        </w:rPr>
        <w:t>On May 2, 2023, the Company sold The Marketplace at Flagstaff, a 268,000 square foot power center in Flagstaff, Arizona, for $23.5 million, which resulted in a gain on sale of assets of $10.3 million. The Company used the net proceeds to pay down debt. (See "Liquidity and Capital Resources").</w:t>
      </w:r>
    </w:p>
    <w:p>
      <w:pPr>
        <w:spacing w:after="0" w:line="59" w:lineRule="exact"/>
        <w:rPr>
          <w:sz w:val="20"/>
          <w:szCs w:val="20"/>
          <w:color w:val="auto"/>
        </w:rPr>
      </w:pPr>
    </w:p>
    <w:p>
      <w:pPr>
        <w:ind w:right="140" w:firstLine="445"/>
        <w:spacing w:after="0" w:line="250" w:lineRule="auto"/>
        <w:rPr>
          <w:sz w:val="20"/>
          <w:szCs w:val="20"/>
          <w:color w:val="auto"/>
        </w:rPr>
      </w:pPr>
      <w:r>
        <w:rPr>
          <w:rFonts w:ascii="Times New Roman" w:cs="Times New Roman" w:eastAsia="Times New Roman" w:hAnsi="Times New Roman"/>
          <w:sz w:val="18"/>
          <w:szCs w:val="18"/>
          <w:color w:val="auto"/>
        </w:rPr>
        <w:t>On July 17, 2023, the Company sold Superstition Springs Power Center, a 204,000 square foot power center in Mesa, Arizona, for $5.6 million, which resulted in a gain on sale of assets of $1.9 million. The Company used the net proceeds to pay down debt. (See "Liquidity and Capital Resources").</w:t>
      </w:r>
    </w:p>
    <w:p>
      <w:pPr>
        <w:spacing w:after="0" w:line="203" w:lineRule="exact"/>
        <w:rPr>
          <w:sz w:val="20"/>
          <w:szCs w:val="20"/>
          <w:color w:val="auto"/>
        </w:rPr>
      </w:pPr>
    </w:p>
    <w:p>
      <w:pPr>
        <w:jc w:val="both"/>
        <w:ind w:right="2000" w:firstLine="445"/>
        <w:spacing w:after="0" w:line="250" w:lineRule="auto"/>
        <w:rPr>
          <w:sz w:val="20"/>
          <w:szCs w:val="20"/>
          <w:color w:val="auto"/>
        </w:rPr>
      </w:pPr>
      <w:r>
        <w:rPr>
          <w:rFonts w:ascii="Times New Roman" w:cs="Times New Roman" w:eastAsia="Times New Roman" w:hAnsi="Times New Roman"/>
          <w:sz w:val="18"/>
          <w:szCs w:val="18"/>
          <w:color w:val="auto"/>
        </w:rPr>
        <w:t>The Company did not repay the loan on Towne Mall on its maturity date of November 1, 2022, and completed transition of the property to a receiver. On December 4, 2023, Towne Mall was sold by the receiver for $9.5 million, resulting in a gain on extinguishment of debt of $8.2 million.</w:t>
      </w:r>
    </w:p>
    <w:p>
      <w:pPr>
        <w:spacing w:after="0" w:line="204" w:lineRule="exact"/>
        <w:rPr>
          <w:sz w:val="20"/>
          <w:szCs w:val="20"/>
          <w:color w:val="auto"/>
        </w:rPr>
      </w:pPr>
    </w:p>
    <w:p>
      <w:pPr>
        <w:ind w:right="2040" w:firstLine="445"/>
        <w:spacing w:after="0" w:line="242" w:lineRule="auto"/>
        <w:rPr>
          <w:sz w:val="20"/>
          <w:szCs w:val="20"/>
          <w:color w:val="auto"/>
        </w:rPr>
      </w:pPr>
      <w:r>
        <w:rPr>
          <w:rFonts w:ascii="Times New Roman" w:cs="Times New Roman" w:eastAsia="Times New Roman" w:hAnsi="Times New Roman"/>
          <w:sz w:val="18"/>
          <w:szCs w:val="18"/>
          <w:color w:val="auto"/>
        </w:rPr>
        <w:t>On December 27, 2023, the Company’s joint venture in One Westside sold the property, a 680,000 square foot office property in Los Angeles, California, for $700.0 million. The existing $325.0 million loan on the property was repaid, and $77.6 million of net proceeds were generated at the Company’s 25% ownership share, which were used to reduce the Company’s revolving loan facility. As a result of this transaction, the Company recognized its share of gain on sale of assets of $8.1 million. (See "Liquidity and Capital Resources").</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2023, the Company and certain joint venture partners sold various land parcels in separate transactions, resulting in the Company’s share of the gain on sale of land of $10.8 million. The Company used its share of the proceeds from these sales of $16.4 million to pay down debt and for other general corporate purposes.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On January 20, 2023, the Company exercised its one-year extension option of the loan on Fashion District Philadelphia to January 22, 2024. The interest rate was SOFR plus 3.60% and the Company repaid $26.1 million of the outstanding loan balance at closing.</w:t>
      </w:r>
    </w:p>
    <w:p>
      <w:pPr>
        <w:spacing w:after="0" w:line="81" w:lineRule="exact"/>
        <w:rPr>
          <w:sz w:val="20"/>
          <w:szCs w:val="20"/>
          <w:color w:val="auto"/>
        </w:rPr>
      </w:pPr>
    </w:p>
    <w:p>
      <w:pPr>
        <w:ind w:right="320" w:firstLine="445"/>
        <w:spacing w:after="0" w:line="312" w:lineRule="auto"/>
        <w:rPr>
          <w:sz w:val="20"/>
          <w:szCs w:val="20"/>
          <w:color w:val="auto"/>
        </w:rPr>
      </w:pPr>
      <w:r>
        <w:rPr>
          <w:rFonts w:ascii="Times New Roman" w:cs="Times New Roman" w:eastAsia="Times New Roman" w:hAnsi="Times New Roman"/>
          <w:sz w:val="17"/>
          <w:szCs w:val="17"/>
          <w:color w:val="auto"/>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spacing w:after="0" w:line="7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 March 22, 2023, the Company executed the one-year extension option on its credit facility to April 14, 2024. Effective March 13, 2023, the credit facility converted from LIBOR to 1-month Term SOFR.</w:t>
      </w:r>
    </w:p>
    <w:p>
      <w:pPr>
        <w:spacing w:after="0" w:line="94"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spacing w:after="0" w:line="9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Effective May 9, 2023, the Company’s joint venture in Country Club Plaza defaulted on the $295.2 million ($147.6 million at the Company's pro rata share) non-recourse loan on the property. The Company’s joint venture is in negotiations with the lender on the terms of this non-recourse loan.</w:t>
      </w:r>
    </w:p>
    <w:p>
      <w:pPr>
        <w:spacing w:after="0" w:line="94"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On June 27, 2023, the Company closed on a one-year extension on the $133.5 million loan on Danbury Fair Mall to July 1, 2024. The Company repaid $10.0 million of the outstanding loan balance at closing and the amended interest rate was 7.5% as of July 1, 2023 and incrementally increased to 8.0% as of October 1, 2023, 8.5% as of January 1, 2024 and 9.0% as of April 1, 2024.</w:t>
      </w:r>
    </w:p>
    <w:p>
      <w:pPr>
        <w:spacing w:after="0" w:line="108" w:lineRule="exact"/>
        <w:rPr>
          <w:sz w:val="20"/>
          <w:szCs w:val="20"/>
          <w:color w:val="auto"/>
        </w:rPr>
      </w:pPr>
    </w:p>
    <w:p>
      <w:pPr>
        <w:ind w:right="320" w:firstLine="445"/>
        <w:spacing w:after="0" w:line="258" w:lineRule="auto"/>
        <w:rPr>
          <w:sz w:val="20"/>
          <w:szCs w:val="20"/>
          <w:color w:val="auto"/>
        </w:rPr>
      </w:pPr>
      <w:r>
        <w:rPr>
          <w:rFonts w:ascii="Times New Roman" w:cs="Times New Roman" w:eastAsia="Times New Roman" w:hAnsi="Times New Roman"/>
          <w:sz w:val="18"/>
          <w:szCs w:val="18"/>
          <w:color w:val="auto"/>
        </w:rPr>
        <w:t>On September 11, 2023, the Company and Operating Partnership entered into an amended and restated credit agreement, which amended and restated their prior $525 million credit agreement, and provides for an aggregate $650 million revolving loan facility that matures on February 1, 2027, with a one-year extension option. Concurrently with the entry into the amended and restated credit agreement, the Company drew $152 million of the amount available under the revolving loan facility and used the proceeds to repay in full amounts outstanding under the Company’s prior credit facility. (See “Liquidity and Capital Resources”).</w:t>
      </w:r>
    </w:p>
    <w:p>
      <w:pPr>
        <w:spacing w:after="0" w:line="102"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Effective October 6, 2023, the Company's $86.5 million loan on Fashion Outlets of Niagara Falls was in default. The Company subsequently extended the maturity date on this loan.</w:t>
      </w:r>
    </w:p>
    <w:p>
      <w:pPr>
        <w:spacing w:after="0" w:line="9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On December 4, 2023, the Company's joint venture in Tysons Corner Center replaced the existing $666.5 million mortgage loan on the property with a new $710.0 million loan that bears interest at a fixed rate of 6.60%, is interest only during the entire loan term and matures on December 6, 2028.</w:t>
      </w:r>
    </w:p>
    <w:p>
      <w:pPr>
        <w:spacing w:after="0" w:line="94"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 million mortgage loan on the property with a new $24.0 million loan that bears interest at a variable rate of SOFR plus 2.50%, is interest only during the entire loan term and matures on December 5, 2028. The new loan has a required interest rate cap throughout the term of the loan at a strike rate of 7.5%.</w:t>
      </w:r>
    </w:p>
    <w:p>
      <w:pPr>
        <w:spacing w:after="0" w:line="95"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On January 22, 2024, the Company repaid the majority of the mortgage loan on Fashion District Philadelphia. The remaining $8.2 million was scheduled to mature on April 21, 2024 and was paid in full prior to maturity.</w:t>
      </w:r>
    </w:p>
    <w:p>
      <w:pPr>
        <w:spacing w:after="0" w:line="94"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94" w:lineRule="exact"/>
        <w:rPr>
          <w:sz w:val="20"/>
          <w:szCs w:val="20"/>
          <w:color w:val="auto"/>
        </w:rPr>
      </w:pPr>
    </w:p>
    <w:p>
      <w:pPr>
        <w:jc w:val="both"/>
        <w:ind w:right="600" w:firstLine="445"/>
        <w:spacing w:after="0" w:line="266" w:lineRule="auto"/>
        <w:rPr>
          <w:sz w:val="20"/>
          <w:szCs w:val="20"/>
          <w:color w:val="auto"/>
        </w:rPr>
      </w:pPr>
      <w:r>
        <w:rPr>
          <w:rFonts w:ascii="Times New Roman" w:cs="Times New Roman" w:eastAsia="Times New Roman" w:hAnsi="Times New Roman"/>
          <w:sz w:val="18"/>
          <w:szCs w:val="18"/>
          <w:color w:val="auto"/>
        </w:rPr>
        <w:t>On March 19, 2024, the Company closed a three-year extension of the $84.7 million loan on Fashion Outlets of Niagara Falls. The scheduled outstanding $1.8 million principal payments were applied at closing. The extended loan bears the same fixed interest rate of 5.90%, and matures on October 6, 2026.</w:t>
      </w:r>
    </w:p>
    <w:p>
      <w:pPr>
        <w:spacing w:after="0" w:line="95"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The Company is in negotiations with the lender on the terms of this non-recourse loan.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April 19, 2024, the Company repaid in full the remaining $8.2 million loan on Fashion District Philadelphia.</w:t>
      </w:r>
    </w:p>
    <w:p>
      <w:pPr>
        <w:spacing w:after="0" w:line="158"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closing a two-year extension of the $150.7 million loan on The Oaks, which matures on June 5, 2024. The Company expects the new interest rate during the first year of the extended loan term will be 7.5% and that it will increase to 8.5% during the second year of the extended loan term.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closing a refinance of the $256.0 million loan on Chandler Fashion Center, which matures on July 5, 2024. The new loan, which is expected to be $275.0 million, is expected to have a five-year term and bear a fixed interest rate that is yet to be determined.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6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The Company has funded $39.5 million of the total $78.9 million incurred by the joint venture as of March 31, 2024. During the first quarter of 2024, the Company evaluated its investment and concluded that due to certain conditions, the Company should not continue to invest capital in this development project. As a result, the Company wrote-off its share of the investment in the three months ended March 31, 2024 (See Note 4 – Investments in Unconsolidated Joint Ventures in the Notes to the Consolidated Financial Statements).</w:t>
      </w:r>
    </w:p>
    <w:p>
      <w:pPr>
        <w:spacing w:after="0" w:line="116"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Company’s joint venture in Scottsdale Fashion Square, a 1,871,000 square foot regional retail center in Scottsdale, Arizona, is redeveloping a two-level Nordstrom wing with luxury-focused retail and restaurant uses. The total cost of the project is estimated to be between $80.0 million and $86.0 million, with $40.0 million and $43.0 million estimated to be the Company’s pro rata share. The Company has incurred $23.1 million of the total $46.2 million incurred by the joint venture as of March 31, 2024. The anticipated opening is in 2024.</w:t>
      </w:r>
    </w:p>
    <w:p>
      <w:pPr>
        <w:spacing w:after="0" w:line="9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is redeveloping the northeast quadrant of Green Acres Mall, a 2,058,000 square foot regional retail center in Valley Stream, New York. The project will include new exterior shops and façade totaling approximately 385,000 square feet of leasing, including new grocery use, redevelopment of a vacant anchor building and demolition of another vacant anchor building. The total cost of the project is estimated to be between $120.0 million and $140.0 million. The Company has incurred approximately $12.1 million as of March 31, 2024. The anticipated opening is in 2026.</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60"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The Company declared a cash dividend of $0.17 per share of its common stock for each quarter of 2023. On February 2, 2024, the Company announced a first quarter cash dividend of $0.17 per share of its common stock, which was paid on March 4, 2024 to stockholders of record on February 16, 2024. On April 26, 2024, the Company announced a second quarter cash dividend of $0.17 per share of its common stock, which will be paid on June 3, 2024 to stockholders of record on May 20, 2024. The dividend amount will be reviewed by the Board on a quarterly basis.</w:t>
      </w:r>
    </w:p>
    <w:p>
      <w:pPr>
        <w:spacing w:after="0" w:line="99" w:lineRule="exact"/>
        <w:rPr>
          <w:sz w:val="20"/>
          <w:szCs w:val="20"/>
          <w:color w:val="auto"/>
        </w:rPr>
      </w:pPr>
    </w:p>
    <w:p>
      <w:pPr>
        <w:jc w:val="both"/>
        <w:ind w:right="1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“ATM Program,” the Company entered into an equity distribution agreement with certain sales agents pursuant to which the Company may issue and sell shares of its common stock having an aggregate offering price of up to $500 million. As of March 31, 2024, the Company had approximately $151.7 million of gross sales of its common stock available under the ATM Program.</w:t>
      </w:r>
    </w:p>
    <w:p>
      <w:pPr>
        <w:spacing w:after="0" w:line="112"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See “—Liquidity and Capital Resources” for a further discussion of the Company’s anticipated liquidity needs, and the measures taken by the Company to meet those needs.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46"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9" w:lineRule="exact"/>
        <w:rPr>
          <w:sz w:val="20"/>
          <w:szCs w:val="20"/>
          <w:color w:val="auto"/>
        </w:rPr>
      </w:pPr>
    </w:p>
    <w:p>
      <w:pPr>
        <w:jc w:val="both"/>
        <w:ind w:right="340" w:firstLine="445"/>
        <w:spacing w:after="0" w:line="266" w:lineRule="auto"/>
        <w:rPr>
          <w:sz w:val="20"/>
          <w:szCs w:val="20"/>
          <w:color w:val="auto"/>
        </w:rPr>
      </w:pPr>
      <w:r>
        <w:rPr>
          <w:rFonts w:ascii="Times New Roman" w:cs="Times New Roman" w:eastAsia="Times New Roman" w:hAnsi="Times New Roman"/>
          <w:sz w:val="18"/>
          <w:szCs w:val="18"/>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2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60"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124"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95"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recoverability and valuation declines that are other-than-temporary. The Company records any such impairment up to the extent of its investment.</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7"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95"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jc w:val="both"/>
        <w:ind w:right="600" w:firstLine="445"/>
        <w:spacing w:after="0" w:line="266"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in Management’s Overview and Summary above, including the Redevelopment Properties, the JV Transition Centers and the Disposition Properties (as defined below).</w:t>
      </w:r>
    </w:p>
    <w:p>
      <w:pPr>
        <w:spacing w:after="0" w:line="95"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and the Disposition Properties, for the periods of comparison.</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For the comparison of the three months ended March 31, 2024 to the three months ended March 31, 2023, the JV Transition Centers are the five former Sears parcels at Chandler Fashion Center, Danbury Fair Mall, Freehold Raceway Mall, Los Cerritos Center and Washington Square (See “Acquisitions” in Management’s Overview and Summary). The Disposition Properties are The Marketplace at Flagstaff, Superstition Springs Power Center and Towne Mall (See "Dispositions" in Management’s Overview and Summary). For the comparison of the three months ended March 31, 2024 to the three months ended March 31, 2023, there are no Redevelopment Properties.</w:t>
      </w:r>
    </w:p>
    <w:p>
      <w:pPr>
        <w:spacing w:after="0" w:line="116"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of unconsolidated joint ventures.</w:t>
      </w:r>
    </w:p>
    <w:p>
      <w:pPr>
        <w:spacing w:after="0" w:line="8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During the trailing twelve months ended March 31, 2024, comparable tenant sales for spaces less than 10,000 square feet across the portfolio decreased by 0.8% relative to the first quarter of 2023. The leased occupancy rate of 93.4% at March 31, 2024 represented a 1.2% increase from 92.2% at March 31, 2023 and a 0.1% sequential decrease compared to the 93.5% occupancy rate at December 31, 2023. Releasing spreads increased as the Company executed leases at an average rent of $62.95 for new and renewal leases executed compared to $54.88 on leases expiring, resulting in a releasing spread increase of $8.07 per square foot, or 14.7%, for the trailing twelve months ended March 31, 2024. This was the Company’s tenth consecutive quarter of positive base rent leasing spreads.</w:t>
      </w:r>
    </w:p>
    <w:p>
      <w:pPr>
        <w:spacing w:after="0" w:line="10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2024 lease expirations continue to be an important focal point for the Company. As of March 31, 2024, the Company has executed renewal leases or commitments on 65% of its square footage expiring in 2024, which leases are expected to commence throughout 2024 and another 24% of such expiring space is in the letter of intent stage. Excluding those leases, the remaining leases expiring in 2024, which represent approximately 354,000 square feet of the Centers, are in the prospecting stage. The Company continues to renew or replace leases that are scheduled to expire in 2024, however, due to a variety of factors, the Company cannot be certain of its ability to sign, renew or replace leases expiring in 2024 or beyond.</w:t>
      </w:r>
    </w:p>
    <w:p>
      <w:pPr>
        <w:spacing w:after="0" w:line="116"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159 leases for new stores totaling approximately 1.6 million square feet that have opened or are planned for opening in 2024, and another 22 leases for new stores totaling approximately 795,000 square feet opening after 2024. While there may be additional new space openings in 2024, any such leases are not yet executed.</w:t>
      </w:r>
    </w:p>
    <w:p>
      <w:pPr>
        <w:spacing w:after="0" w:line="108"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the Company signed 46 new leases and 176 renewal leases comprising approximately 1.0 million square feet of GLA. The average tenant allowance was $10.20 per square foot.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ind w:right="200" w:firstLine="445"/>
        <w:spacing w:after="0" w:line="289" w:lineRule="auto"/>
        <w:rPr>
          <w:sz w:val="20"/>
          <w:szCs w:val="20"/>
          <w:color w:val="auto"/>
        </w:rPr>
      </w:pPr>
      <w:r>
        <w:rPr>
          <w:rFonts w:ascii="Times New Roman" w:cs="Times New Roman" w:eastAsia="Times New Roman" w:hAnsi="Times New Roman"/>
          <w:sz w:val="17"/>
          <w:szCs w:val="17"/>
          <w:color w:val="auto"/>
        </w:rPr>
        <w:t>During March 2024, the Company celebrated its 30th anniversary as a public company and also welcomed Jackson Hsieh as its Chief Executive Officer and President. Following the appointment of Mr. Hsieh, the Company’s leadership team has spent considerable time refining the path forward for the Company, one which is focused on robust portfolio management with a goal of significantly reducing the Company’s leverage over the coming years.</w:t>
      </w:r>
    </w:p>
    <w:p>
      <w:pPr>
        <w:spacing w:after="0" w:line="90"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Company has a long-term four-pronged business strategy that focuses on the acquisition, leasing and management, redevelopment and development of regional retail centers. Although the majority of the key performance indicators at the Centers continued to improve during the first quarter of 2024, including a strong start to 2024 leasing volume and leasing spreads, operating results in 2024 are expected to be negatively impacted by certain external factors, including any continued increase in inflation and elevated interest rates, as well as the impact from the recent bankruptcy of Express and any future tenant bankruptcies. Additionally, the Company is focused on a strategic plan with several core objectives, including simplifying its business, improving operational performance and reducing its overall leverage.</w:t>
      </w:r>
    </w:p>
    <w:p>
      <w:pPr>
        <w:spacing w:after="0" w:line="106"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Traffic levels at the Company’s Centers for the first quarter of 2024 increased by 1.5% from 2023 levels for the same time period. Portfolio tenant sales from spaces less than 10,000 square feet were $837 compared to $836 for the year ended December 31, 2023. Comparable tenant sales from spaces less than 10,000 square feet across the portfolio for the quarter ended March 31, 2024 decreased by 0.8% compared to the same period in 2023.</w:t>
      </w:r>
    </w:p>
    <w:p>
      <w:pPr>
        <w:spacing w:after="0" w:line="108"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During 2023, the Company signed 839 new and renewal leases for approximately 4.2 million square feet, compared to 963 leases and 3.8 million square feet signed during 2022. This leasing volume represented a 13% decrease in the number of leases and a 12% increase in the amount of square footage leased compared to the same period in 2022 on a comparable basis, and was the highest volume leasing year in the Company’s history. During the first quarter of 2024, the Company continued its strong leasing trajectory and signed 222 leases for approximately 1.0 million square feet, compared to 248 leases and 917,000 square feet leased during the first quarter of 2023, representing a 14% increase in the amount of square footage leased and an 11% decrease in the number of leases signed on a comparable center basis.</w:t>
      </w:r>
    </w:p>
    <w:p>
      <w:pPr>
        <w:spacing w:after="0" w:line="120"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quarter ended March 31, 2024, the Company signed deals for new stores with new-to-Macerich portfolio uses for 11,000 square feet, with another 147,000 square feet of such new-to-Macerich portfolio leases currently in negotiation as of the date of this Quarterly Report on Form 10-Q. During the year ended December 31, 2023, the Company signed leases for new stores with new-to-Macerich portfolio uses totaling over 600,000 square feet.</w:t>
      </w:r>
    </w:p>
    <w:p>
      <w:pPr>
        <w:spacing w:after="0" w:line="10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the leased occupancy rate was 93.4%, a 1.2% increase compared to the leased occupancy rate at March 31, 2023 of 92.2% and a 0.1% sequential decrease compared to the leased occupancy rate of 93.5% at December 31,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95"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The pace of bankruptcy filings involving the Company’s tenants decreased substantially in 2023 and in 2022 compared to 2021. For the year ended December 31, 2023, there were ten bankruptcy filings involving the Company’s tenants totaling fifteen leases and representing approximately 111,000 square feet of leased space and $3.6 million of annual leasing revenue at the Company’s share. Year-to-date in 2024, there have been four bankruptcy filings involving the Company’s tenants, including the bankruptcy of Express announced on April 22, 2024, totaling 36 leases and representing approximately 251,000 square feet of leased space and $17.1 million of annual leasing revenue at the Company’s share.</w:t>
      </w:r>
    </w:p>
    <w:p>
      <w:pPr>
        <w:spacing w:after="0" w:line="116"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During 2024,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stock. This expected surplus will be used to fund the Company’s development and redevelopment pipeline and, to the extent available, de-lever the Company’s balance sheet.</w:t>
      </w:r>
    </w:p>
    <w:p>
      <w:pPr>
        <w:spacing w:after="0" w:line="11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Additionally, the Company's goal is to reduce its Net Debt to EBITDA leverage to a lower level over the next few years. This plan may be effected through a variety of methods, including asset dispositions and acquisitions, organic growth in EBITDA as the Company's lease pipeline opens for business, being selective about undertaking new development and redevelopment projects, and the issuance of common stock, the timing and extent of which are indeterminable at this time. Asset sales will focus on whether a retail center is core to the Company’s strategy and asset dispositions may include defaulting on certain mortgage debts on the Company’s properties and giving possession of such secured properties to the lender.</w:t>
      </w:r>
    </w:p>
    <w:p>
      <w:pPr>
        <w:spacing w:after="0" w:line="102"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five completed or in the process transactions year-to-date in 2024 totaling approximately $689.4 million, or approximately $540.2 million at the Company’s pro rata share. For additional information on the Company’s financing transactions in the year ended 2023 through the date of this Quarterly Report on Form 10-Q, see “Financing Activities” in Management’s Overview and Summary.</w:t>
      </w:r>
    </w:p>
    <w:p>
      <w:pPr>
        <w:spacing w:after="0" w:line="112"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On April 9, 2024, the Company defaulted on the $300.0 million loan on Santa Monica Place and the Company is in negotiations with the lender on the terms of this non-recourse loan.</w:t>
      </w:r>
    </w:p>
    <w:p>
      <w:pPr>
        <w:spacing w:after="0" w:line="94"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Elevated interest rates are increasing the cost of the Company’s borrowings due to its outstanding floating-rate debt and have led to higher interest rates on new fixed-rate debt.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2024 and 2023</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Leasing revenue decreased by $7.4 million, or 3.7%, from 2023 to 2024. The decrease in leasing revenue is attributed to decreases of $7.0 million from the Same Centers and $1.5 million from the Disposition Properties offset in part by an increase of $1.1 million from the JV Transition Centers. Leasing revenue includes the amortization of above and below-market leases, the amortization of straight-line rents, lease termination income, percentage rent and the recovery of bad debts. The amortization of above and below-market leases decreased from $1.1 million in 2023 to $0.1 million in 2024. Straight-line rents decreased from $(1.8) million in 2023 to $(3.2) million in 2024. Lease termination income decreased from $1.8 million in 2023 to $1.1 million in 2024. Percentage rent decreased from $5.5 million in 2023 to $2.6 million in 2024. (Provisions for) recovery of bad debts decreased from $1.0 million in 2023 to $(2.9) million in 2024.</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Companies' revenue increased from $6.8 million in 2023 to $8.2 million in 2024 due to an increase in leasing and development fees.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60"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Shopping center and operating expenses increased $3.7 million, or 5.2%, from 2023 to 2024. The increase in shopping center and operating expenses is attributed to an increase of $4.5 million from the Same Centers, which is primarily due to increased weather related costs, and is offset in part by decreases of $0.1 million from the JV Transition Centers and $0.7 million from the Disposition Properties.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Leasing expenses increased from $9.7 million in 2023 to $10.5 million in 2024 due to an increase in compensation expense.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REIT general and administrative expenses increased $0.7 million from 2023 to 2024 due to an increase in legal fees.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$3.1 million from 2023 to 2024. The decrease in depreciation and amortization is attributed to decreases of $3.3 million from the Same Centers and $0.5 million from the Disposition Properties offset in part by an increase of $0.7 million from the JV Transition Centers.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4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Interest expense increased $12.8 million from 2023 to 2024. The increase in interest expense is attributed to increases of $13.8 million from the financing arrangement discussed in Note 12 in the Company's Notes to the Consolidated Financial Statements and $0.9 million from higher interest rates and outstanding balances on the Company's revolving line of credit offset in part by decreases of $0.9 million from the Same Centers, $0.8 million from the JV Transition Centers and $0.2 million from the Disposition Properties. The increase in interest expense from the financing arrangement is primarily due to the change in fair value of the underlying properties and the mortgage notes payable on the underlying properties.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in Loss of Unconsolidated Joint Ventures:</w:t>
      </w:r>
    </w:p>
    <w:p>
      <w:pPr>
        <w:spacing w:after="0" w:line="160"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Equity in loss of unconsolidated joint ventures increased $11.5 million from 2023 to 2024. The increase in equity in loss of unconsolidated joint ventures is primarily due to the write-down of the Company's investment in Los Angeles Premium Outlets of $57.7 million in 2024 offset in part by the impairment loss in 2023 of $51.4 million at MS Portfolio LLC, as a result of the reduction in the estimated holding period (See Note 4 – Investments in Unconsolidated Joint Ventures in the Company’s Notes to the Consolidated Financial Statements).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(Loss) Gain on Sale or Write Down of Assets, net:</w:t>
      </w:r>
    </w:p>
    <w:p>
      <w:pPr>
        <w:spacing w:after="0" w:line="160"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(Loss) gain on sale or write down of assets, net increased $39.9 million from 2023 to 2024. The increase is primarily due to the impairment loss of $36.0 million at Santa Monica Place, as a result of the reduction in the estimated holding period of the property (See “—Financing Activities” in Management's Overview and Summary).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46"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Net loss increased $73.3 million from 2023 to 2024. The increase in net loss is primarily due to the 2024 impairment losses at Santa Monica Place and Los Angeles Premium Outlets, offset in part by the 2023 write-down of assets as a result of the reduction in the estimated holding period at MS Portfolio LLC, along with the other variances noted above.</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6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accrued default interest expense and unrealized gain or loss on non-real estate investments decreased 22.2% from $95.9 million in 2023 to $74.6 million in 2024. For a reconciliation of net loss attributable to the Company, the most directly comparable GAAP financial measure, to FFO attributable to common stockholders and unit holders—diluted, and FFO attributable to common stockholders and unit holders, excluding financing expense in connection with Chandler Freehold, accrued default interest expense and unrealized loss on non-real estate investments— diluted, see "Funds From Operations ("FFO")" below.</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decreased $19.6 million from 2023 to 2024. The decrease is primarily due to the changes in assets and liabilities and the results, as discussed above.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$27.0 million in 2024 compared to cash provided by investing activities of $118.2 million in 2023. The increase in cash used in investing activities is primarily attributed to decreases in distributions from unconsolidated joint ventures of $141.2 million, increases in development, redevelopment and renovation of $6.4 million and decreases in proceeds from the sale of assets of $5.0 million offset in part by decreases in property improvements of $7.5</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million. The decrease in distributions from unconsolidated joint ventures is primarily due to the distribution of net loan proceeds from the Scottsdale Fashion Square refinance in 2023 (See “—Financing Activities” in Management’s Overview and Summary).</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decreased $175.0 million from 2023 to 2024. The decrease in cash used in financing activities is primarily due to the decrease in payments on mortgages, bank and other notes payable of $313.4 million and a decrease in dividends and distributions of $2.6 million offset in part by a decrease in proceeds from mortgages, bank and other notes payable of $150.0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w:t>
      </w:r>
    </w:p>
    <w:p>
      <w:pPr>
        <w:spacing w:after="0" w:line="108"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Additionally, the Company is focused on its goal to reduce its Net Debt to EBITDA leverage to a lower level over the next few years. This plan may be effected through a variety of methods, including asset dispositions and acquisitions, organic growth in EBITDA as the Company's lease pipeline opens for business, being selective about undertaking new development and redevelopment projects, and the issuance of common stock, the timing and extent of which are indeterminable at this time. The asset dispositions may include defaulting on certain mortgage debts on the Company's properties and giving possession of such secured properties to the lender.</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capital expenditures incurred at the Centers (at the Company's pro rata share):</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31,064</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Joint Venture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comparable to 2023. The Company expects to incur approximately $160.0 million to $180.0 million during 2024 for development, redevelopment, expansion and renovations.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 The Company will be very selective in undertaking any future development or redevelopment projects and may choose to pause existing projects if the Company believes they are no longer economically viable.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60"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Asset sales will focus on whether a center is core to the Company's strategy. For example, the Company sold The Marketplace at Flagstaff in Flagstaff, Arizona on May 2, 2023, Superstition Springs Power Center in Mesa, Arizona on July 17, 2023, and the Company's joint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venture sold One Westside in Los Angeles, California on December 27, 2023. The Company used its share of proceeds from these transactions to pay down its line of credit and other debt obligations. During the year ended December 31, 2023, the Company and certain joint venture partners sold various land parcels in separate transactions for aggregate proceeds of $16.4 million (at the Company's share), which the Company used to pay down debt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87"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On March 26, 2021, the Company registered an "at the market" offering program, pursuant to which the Company may issue and sell shares of its common stock having an aggregate offering price of up to $500 million under the ATM Program, in amounts and at times to be determined by the Company. During the three months ended March 31, 2024, no shares were issued under the ATM Program. As of March 31, 2024, the Company had approximately $151.7 million of gross sales of its common stock available under the ATM Program.</w:t>
      </w:r>
    </w:p>
    <w:p>
      <w:pPr>
        <w:spacing w:after="0" w:line="11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spacing w:after="0" w:line="11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spacing w:after="0" w:line="10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March 31, 2024 was $6.96 billion (consisting of $4.27 billion of consolidated debt, less $0.16 billion of noncontrolling interests, plus $2.85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 with the exception of Santa Monica Place (See “—Financing Activities” in Management’s Overview and Summary).</w:t>
      </w:r>
    </w:p>
    <w:p>
      <w:pPr>
        <w:spacing w:after="0" w:line="116" w:lineRule="exact"/>
        <w:rPr>
          <w:sz w:val="20"/>
          <w:szCs w:val="20"/>
          <w:color w:val="auto"/>
        </w:rPr>
      </w:pPr>
    </w:p>
    <w:p>
      <w:pPr>
        <w:ind w:right="260" w:firstLine="445"/>
        <w:spacing w:after="0" w:line="255"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1"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95"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Additionally, as of March 31, 2024, the Company was contingently liable for $40.9 million in letters of credit guaranteeing performance by the Company of certain obligations relating to the Centers. As of March 31, 2024, $40.8 million of these letters of credit were secured by restricted cash. The Company does not believe that these letters of credit will result in a liability to the Company.</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continues to actively address its near-term, non-recourse loan maturities, with five completed or in process transactions year-to-date in</w:t>
      </w:r>
    </w:p>
    <w:p>
      <w:pPr>
        <w:spacing w:after="0" w:line="27" w:lineRule="exact"/>
        <w:rPr>
          <w:sz w:val="20"/>
          <w:szCs w:val="20"/>
          <w:color w:val="auto"/>
        </w:rPr>
      </w:pPr>
    </w:p>
    <w:p>
      <w:pPr>
        <w:jc w:val="both"/>
        <w:ind w:right="820"/>
        <w:spacing w:after="0" w:line="255" w:lineRule="auto"/>
        <w:rPr>
          <w:sz w:val="20"/>
          <w:szCs w:val="20"/>
          <w:color w:val="auto"/>
        </w:rPr>
      </w:pPr>
      <w:r>
        <w:rPr>
          <w:rFonts w:ascii="Times New Roman" w:cs="Times New Roman" w:eastAsia="Times New Roman" w:hAnsi="Times New Roman"/>
          <w:sz w:val="18"/>
          <w:szCs w:val="18"/>
          <w:color w:val="auto"/>
        </w:rPr>
        <w:t>2024 totaling approximately $689.4 million, or approximately $540.2 million at the Company’s pro rata share. For additional information on the Company’s financing transactions in the year ended 2023 through the date of this Quarterly Report on Form 10-Q, see “Financing Activities” in Management’s Overview and Summary.</w:t>
      </w:r>
    </w:p>
    <w:p>
      <w:pPr>
        <w:spacing w:after="0" w:line="118" w:lineRule="exact"/>
        <w:rPr>
          <w:sz w:val="20"/>
          <w:szCs w:val="20"/>
          <w:color w:val="auto"/>
        </w:rPr>
      </w:pPr>
    </w:p>
    <w:p>
      <w:pPr>
        <w:jc w:val="both"/>
        <w:ind w:right="120" w:firstLine="445"/>
        <w:spacing w:after="0" w:line="277" w:lineRule="auto"/>
        <w:rPr>
          <w:sz w:val="20"/>
          <w:szCs w:val="20"/>
          <w:color w:val="auto"/>
        </w:rPr>
      </w:pPr>
      <w:r>
        <w:rPr>
          <w:rFonts w:ascii="Times New Roman" w:cs="Times New Roman" w:eastAsia="Times New Roman" w:hAnsi="Times New Roman"/>
          <w:sz w:val="17"/>
          <w:szCs w:val="17"/>
          <w:color w:val="auto"/>
        </w:rPr>
        <w:t>Previously, the Company had a $525 million revolving loan facility, which was scheduled to mature on April 14, 2024. On September 11, 2023, the Company and the Operating Partnership entered into an amended and restated credit agreement, which amended and restated their prior credit agreement, and provides for an aggregate $650 million revolving loan facility that matures on February 1, 2027, with a one-year extension option. The revolving loan facility can be expanded up to $950 million, subject to receipt of lender commitments and other conditions. Concurrently with the entry into the amended and restated credit agreement, the Company drew $152 million of the amount available under the revolving loan facility and used the proceeds 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repay in full amounts outstanding under its prior credit facility.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As of March 31, 2024, the borrowing rate was SOFR plus a spread of 2.35%. As of March 31, 2024, borrowings under the credit facility were $185.0 million less unamortized deferred finance costs of $14.5 million for the revolving loan facility at a total effective interest rate of 8.33%. As of March 31, 2024, the Company’s availability under the revolving loan facility for additional borrowings was $464.9 million.</w:t>
      </w:r>
    </w:p>
    <w:p>
      <w:pPr>
        <w:spacing w:after="0" w:line="111"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Cash dividends and distributions for the three months ended March 31, 2024 were $39.2 million (including distributions from consolidated joint ventures of $0.5 million), which were funded by operations.</w:t>
      </w:r>
    </w:p>
    <w:p>
      <w:pPr>
        <w:spacing w:after="0" w:line="94" w:lineRule="exact"/>
        <w:rPr>
          <w:sz w:val="20"/>
          <w:szCs w:val="20"/>
          <w:color w:val="auto"/>
        </w:rPr>
      </w:pPr>
    </w:p>
    <w:p>
      <w:pPr>
        <w:ind w:left="420" w:right="2900" w:firstLine="40"/>
        <w:spacing w:after="0" w:line="417" w:lineRule="auto"/>
        <w:rPr>
          <w:sz w:val="20"/>
          <w:szCs w:val="20"/>
          <w:color w:val="auto"/>
        </w:rPr>
      </w:pPr>
      <w:r>
        <w:rPr>
          <w:rFonts w:ascii="Times New Roman" w:cs="Times New Roman" w:eastAsia="Times New Roman" w:hAnsi="Times New Roman"/>
          <w:sz w:val="18"/>
          <w:szCs w:val="18"/>
          <w:color w:val="auto"/>
        </w:rPr>
        <w:t xml:space="preserve">At March 31, 2024, the Company was in compliance with all applicable loan covenants under its agreements. At March 31, 2024, the Company had cash and cash equivalents of $120.1 million. </w:t>
      </w:r>
      <w:r>
        <w:rPr>
          <w:rFonts w:ascii="Times New Roman" w:cs="Times New Roman" w:eastAsia="Times New Roman" w:hAnsi="Times New Roman"/>
          <w:sz w:val="18"/>
          <w:szCs w:val="18"/>
          <w:i w:val="1"/>
          <w:iCs w:val="1"/>
          <w:color w:val="auto"/>
        </w:rPr>
        <w:t>Material Cash Commitments:</w:t>
      </w:r>
    </w:p>
    <w:p>
      <w:pPr>
        <w:spacing w:after="0" w:line="1"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March 31, 2024 for the Consolidated Centers over the periods in which they are expected to be paid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08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37"/>
              <w:spacing w:after="0" w:line="131"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1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61"/>
        </w:trPr>
        <w:tc>
          <w:tcPr>
            <w:tcW w:w="35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Long-term debt obligations (includes expected</w:t>
            </w: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5,046,400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1,321,723</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1,788,242</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74,831</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1,863,073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March 31, 2024.</w:t>
      </w:r>
    </w:p>
    <w:p>
      <w:pPr>
        <w:spacing w:after="0" w:line="1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48"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FFO in addition to net income to report its operating and financial results and considers FFO and FFO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On November 16, 2023, the Company acquired its joint venture partner’s 49.9% ownership interest in Freehold Raceway Mall and as a result, this property is no longer part of the financing arrangement and is 100% owned by the Company. (See Note 12 – Financing Arrangement and Note 15 – Acquisitions in the Notes to the Consolidated Financial Statements). References to Chandler Freehold after November 16, 2023 shall be deemed to only refer to Chandler Fashion Center.</w:t>
      </w:r>
    </w:p>
    <w:p>
      <w:pPr>
        <w:spacing w:after="0" w:line="12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 gain or loss on extinguishment of debt, accrued default interest expense and unrealized gain or loss on non-real estate investments.</w:t>
      </w:r>
    </w:p>
    <w:p>
      <w:pPr>
        <w:spacing w:after="0" w:line="81"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impact associated with extinguishment of debt, accrued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On March 19, 2024, the Company closed on a three-year extension of the Fashion Outlets of Niagara Falls non-recourse loan and all default interest expense was reversed. GAAP requires that the Company accrue default interest expense, which is not expected to be paid and is expected to be reversed once a loan is modified or once title to the mortgaged loan collateral is transferred. The Company believes that the accrual of default interest on non-recourse loans, and the related reversal thereof should be excluded. The Company holds certain non-real estate investments that are subject to mark to market changes every quarter. These investments are not core to the Company's business, and the changes to market value and the related unrealized gain or loss are entirely non-cash in nature. As a result, the Company believes that the unrealized gain or loss on non-real estate investments should be excluded. In the first quarter of 2024, the Company updated its presentation to exclude unrealized gain or loss on non-real estate investments for the reasons noted above. The Company recast the presentation for prior periods to reflect this change.</w:t>
      </w:r>
    </w:p>
    <w:p>
      <w:pPr>
        <w:spacing w:after="0" w:line="128"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(loss) as defined by GAAP, and is not indicative of cash available to fund all cash flow needs. The Company also cautions that FFO, as presented, may not be comparable to similarly titled measures reported by other real estate investment trusts.</w:t>
      </w:r>
    </w:p>
    <w:p>
      <w:pPr>
        <w:spacing w:after="0" w:line="10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income to FFO and FFO</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Management believes that to further understand the Company's performance, FFO should be compared with the Company's reported net income (loss) and considered in addition to cash flows in accordance with GAAP, as presented in the Company's consolidated financial statements. The following reconciles net loss attributable to the Company to FFO and FFO</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attributable to common stockholders and unit holders-basic and diluted, excluding financing expense in connection with Chandler Freehold, accrued default interest expense and unrealized loss on non-real estate investments for the three months ended March 31, 2024 and 2023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(58,733)</w:t>
            </w: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attributable to the Company to FFO attributable to common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sale or write down of assets, net—consolidated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0" w:type="dxa"/>
            <w:vAlign w:val="bottom"/>
          </w:tcPr>
          <w:p>
            <w:pPr>
              <w:spacing w:after="0"/>
              <w:rPr>
                <w:sz w:val="1"/>
                <w:szCs w:val="1"/>
                <w:color w:val="auto"/>
              </w:rPr>
            </w:pPr>
          </w:p>
        </w:tc>
      </w:tr>
      <w:tr>
        <w:trPr>
          <w:trHeight w:val="165"/>
        </w:trPr>
        <w:tc>
          <w:tcPr>
            <w:tcW w:w="6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Add: noncontrolling interests share of gain on sale or write down of assets—consolidated</w:t>
            </w: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share of gain of undepreciated assets—consolidated assets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sale or write down of assets—unconsolidated joint ventures, net(1)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50,127</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(loss) gain on sale of undepreciated assets—unconsolidated joint ventures(1)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71,453</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42,507</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0" w:type="dxa"/>
            <w:vAlign w:val="bottom"/>
          </w:tcPr>
          <w:p>
            <w:pPr>
              <w:spacing w:after="0"/>
              <w:rPr>
                <w:sz w:val="1"/>
                <w:szCs w:val="1"/>
                <w:color w:val="auto"/>
              </w:rPr>
            </w:pPr>
          </w:p>
        </w:tc>
      </w:tr>
      <w:tr>
        <w:trPr>
          <w:trHeight w:val="20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97,775</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(9,067)</w:t>
            </w:r>
          </w:p>
        </w:tc>
        <w:tc>
          <w:tcPr>
            <w:tcW w:w="0" w:type="dxa"/>
            <w:vAlign w:val="bottom"/>
          </w:tcPr>
          <w:p>
            <w:pPr>
              <w:spacing w:after="0"/>
              <w:rPr>
                <w:sz w:val="1"/>
                <w:szCs w:val="1"/>
                <w:color w:val="auto"/>
              </w:rPr>
            </w:pPr>
          </w:p>
        </w:tc>
      </w:tr>
      <w:tr>
        <w:trPr>
          <w:trHeight w:val="142"/>
        </w:trPr>
        <w:tc>
          <w:tcPr>
            <w:tcW w:w="63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70,184</w:t>
            </w:r>
          </w:p>
        </w:tc>
        <w:tc>
          <w:tcPr>
            <w:tcW w:w="10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88,708</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connection with Chandler Freehold—basic and diluted</w:t>
            </w: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default interest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Unrealized loss on non-real estate investments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7,210</w:t>
            </w:r>
          </w:p>
        </w:tc>
        <w:tc>
          <w:tcPr>
            <w:tcW w:w="0" w:type="dxa"/>
            <w:vAlign w:val="bottom"/>
          </w:tcPr>
          <w:p>
            <w:pPr>
              <w:spacing w:after="0"/>
              <w:rPr>
                <w:sz w:val="1"/>
                <w:szCs w:val="1"/>
                <w:color w:val="auto"/>
              </w:rPr>
            </w:pPr>
          </w:p>
        </w:tc>
      </w:tr>
      <w:tr>
        <w:trPr>
          <w:trHeight w:val="145"/>
        </w:trPr>
        <w:tc>
          <w:tcPr>
            <w:tcW w:w="6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connection with Chandler Freehold, accrued default interest expense and unrealized loss on</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95,918</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non-real estate investments —basic and diluted</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224,271</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and unit based compensation plans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63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number of FFO shares outstanding for FFO attributable to common</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226,141</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224,271</w:t>
            </w:r>
          </w:p>
        </w:tc>
        <w:tc>
          <w:tcPr>
            <w:tcW w:w="0" w:type="dxa"/>
            <w:vAlign w:val="bottom"/>
          </w:tcPr>
          <w:p>
            <w:pPr>
              <w:spacing w:after="0"/>
              <w:rPr>
                <w:sz w:val="1"/>
                <w:szCs w:val="1"/>
                <w:color w:val="auto"/>
              </w:rPr>
            </w:pPr>
          </w:p>
        </w:tc>
      </w:tr>
      <w:tr>
        <w:trPr>
          <w:trHeight w:val="189"/>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diluted(2)</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153" w:lineRule="exact"/>
        <w:rPr>
          <w:rFonts w:ascii="Times New Roman" w:cs="Times New Roman" w:eastAsia="Times New Roman" w:hAnsi="Times New Roman"/>
          <w:sz w:val="16"/>
          <w:szCs w:val="16"/>
          <w:color w:val="auto"/>
        </w:rPr>
      </w:pPr>
    </w:p>
    <w:p>
      <w:pPr>
        <w:ind w:left="420" w:right="240" w:hanging="412"/>
        <w:spacing w:after="0" w:line="280" w:lineRule="auto"/>
        <w:tabs>
          <w:tab w:leader="none" w:pos="40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Includes 10.1 million and 9.0 million of OP Units outstanding for the three months ended March 31, 2024 and 2023, respectively.</w:t>
      </w:r>
    </w:p>
    <w:p>
      <w:pPr>
        <w:spacing w:after="0" w:line="97" w:lineRule="exact"/>
        <w:rPr>
          <w:rFonts w:ascii="Times New Roman" w:cs="Times New Roman" w:eastAsia="Times New Roman" w:hAnsi="Times New Roman"/>
          <w:sz w:val="16"/>
          <w:szCs w:val="16"/>
          <w:color w:val="auto"/>
        </w:rPr>
      </w:pPr>
    </w:p>
    <w:p>
      <w:pPr>
        <w:ind w:left="42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7" w:lineRule="exact"/>
        <w:rPr>
          <w:sz w:val="20"/>
          <w:szCs w:val="20"/>
          <w:color w:val="auto"/>
        </w:rPr>
      </w:pPr>
    </w:p>
    <w:p>
      <w:pPr>
        <w:ind w:right="260" w:firstLine="8"/>
        <w:spacing w:after="0" w:line="253"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1"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as of March 31, 2024 concerning the Company's long-term debt obligations, including principal cash flows by scheduled maturity, weighted average interest rates and estimated fair value (dollars in thousands):</w:t>
      </w: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twelve months ending March 31,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4"/>
        </w:trPr>
        <w:tc>
          <w:tcPr>
            <w:tcW w:w="168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1,133,459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223,272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402,979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373,457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8,431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1,672,271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3,813,869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3,531,165</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185,000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493,171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494,594</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debt—Consolidated</w:t>
            </w: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1,141,630</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523,272</w:t>
            </w:r>
          </w:p>
        </w:tc>
        <w:tc>
          <w:tcPr>
            <w:tcW w:w="12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402,979</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373,457</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193,431</w:t>
            </w:r>
          </w:p>
        </w:tc>
        <w:tc>
          <w:tcPr>
            <w:tcW w:w="120" w:type="dxa"/>
            <w:vAlign w:val="bottom"/>
          </w:tcPr>
          <w:p>
            <w:pPr>
              <w:spacing w:after="0"/>
              <w:rPr>
                <w:sz w:val="10"/>
                <w:szCs w:val="10"/>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1,672,271</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4,307,040</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4,025,759</w:t>
            </w: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8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UNCONSOLIDATED</w:t>
            </w: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6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(at</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132,885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230,830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701,099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946,006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460,299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346,039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2,817,158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2,646,084</w:t>
            </w: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32,888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0" w:type="dxa"/>
            <w:vAlign w:val="bottom"/>
          </w:tcPr>
          <w:p>
            <w:pPr>
              <w:spacing w:after="0"/>
              <w:rPr>
                <w:sz w:val="1"/>
                <w:szCs w:val="1"/>
                <w:color w:val="auto"/>
              </w:rPr>
            </w:pPr>
          </w:p>
        </w:tc>
      </w:tr>
      <w:tr>
        <w:trPr>
          <w:trHeight w:val="196"/>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2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68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debt—Unconsolidated</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132,885</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230,830</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733,987</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947,265</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472,299</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346,039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2,863,305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2,693,642</w:t>
            </w:r>
          </w:p>
        </w:tc>
        <w:tc>
          <w:tcPr>
            <w:tcW w:w="0" w:type="dxa"/>
            <w:vAlign w:val="bottom"/>
          </w:tcPr>
          <w:p>
            <w:pPr>
              <w:spacing w:after="0"/>
              <w:rPr>
                <w:sz w:val="1"/>
                <w:szCs w:val="1"/>
                <w:color w:val="auto"/>
              </w:rPr>
            </w:pPr>
          </w:p>
        </w:tc>
      </w:tr>
      <w:tr>
        <w:trPr>
          <w:trHeight w:val="191"/>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80" w:firstLine="445"/>
        <w:spacing w:after="0" w:line="261" w:lineRule="auto"/>
        <w:rPr>
          <w:sz w:val="20"/>
          <w:szCs w:val="20"/>
          <w:color w:val="auto"/>
        </w:rPr>
      </w:pPr>
      <w:r>
        <w:rPr>
          <w:rFonts w:ascii="Times New Roman" w:cs="Times New Roman" w:eastAsia="Times New Roman" w:hAnsi="Times New Roman"/>
          <w:sz w:val="18"/>
          <w:szCs w:val="18"/>
          <w:color w:val="auto"/>
        </w:rPr>
        <w:t>The Consolidated Centers' total fixed rate debt at both March 31, 2024 and December 31, 2023 was $3.8 billion. The average interest rate on the fixed rate debt at March 31, 2024 and December 31, 2023 was 4.26% and 4.29%, respectively. The Consolidated Centers' total floating rate debt at March 31, 2024 and December 31, 2023 was $493.2 million and $475.8 million, respectively. The average interest rate on the floating rate debt at March 31, 2024 and December 31, 2023 was 7.22% and 7.43%, respectively.</w:t>
      </w:r>
    </w:p>
    <w:p>
      <w:pPr>
        <w:spacing w:after="0" w:line="11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both March 31, 2024 and December 31, 2023 was $2.8 billion. The average interest rate on the fixed rate debt at March 31, 2024 and December 31, 2023 was 5.09% and 5.06%, respectively. The Company's pro rata share of the unconsolidated joint venture Centers' floating rate debt at March 31, 2024 and December 31, 2023 was $46.1 million and $45.2 million, respectively. The average interest rate on the floating rate debt at March 31, 2024 and December 31, 2023 was 9.07% and 9.00%, respectively.</w:t>
      </w:r>
    </w:p>
    <w:p>
      <w:pPr>
        <w:spacing w:after="0" w:line="11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March 31, 2024, the Company has interest rate cap agreements in place (See Note 4—Investments in Unconsolidated Joint Ventures and Note 5— Derivative Instruments and Hedging Activities in the Company's Notes to the Consolidated Financial Statements). The respective loans each require an interest rate cap agreement to be in place at all times, which limits how high the prevailing floating loan rate index (i.e., SOFR) for the loans can rise. As of the date of this Quarterly Report on Form 10-Q, SOFR for each of these loans exceeded the strike interest rate (the "Strike Rate") within the required interest rate cap agreement. If SOFR does exceed the Strike Rate, each of these loans would then be considered fixed rate debt. If SOFR for these respective loans thereafter no longer exceeds the Strike Rate, then these loans would once again be considered floating rate debt.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$5.4 million per year based on $539.3 million of floating rate debt outstanding at March 31, 2024.</w:t>
      </w:r>
    </w:p>
    <w:p>
      <w:pPr>
        <w:spacing w:after="0" w:line="81"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March 31, 2024,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11"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Exchange Act) that occurred during the Company's most recent fiscal quarter that has materially affected, or is reasonably likely to materially affect, the Company's internal control over financial reporting.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relating to the Company set forth under the caption "Item 1A. Risk Factors" in the Company's Annual Report on Form 10-K for the year ended December 31, 2023.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left="700" w:hanging="247"/>
        <w:spacing w:after="0"/>
        <w:tabs>
          <w:tab w:leader="none" w:pos="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57"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4"/>
                <w:szCs w:val="14"/>
                <w:color w:val="auto"/>
              </w:rPr>
            </w:pPr>
          </w:p>
        </w:tc>
        <w:tc>
          <w:tcPr>
            <w:tcW w:w="1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Programs (1)</w:t>
            </w:r>
          </w:p>
        </w:tc>
        <w:tc>
          <w:tcPr>
            <w:tcW w:w="0" w:type="dxa"/>
            <w:vAlign w:val="bottom"/>
          </w:tcPr>
          <w:p>
            <w:pPr>
              <w:spacing w:after="0"/>
              <w:rPr>
                <w:sz w:val="1"/>
                <w:szCs w:val="1"/>
                <w:color w:val="auto"/>
              </w:rPr>
            </w:pPr>
          </w:p>
        </w:tc>
      </w:tr>
      <w:tr>
        <w:trPr>
          <w:trHeight w:val="225"/>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2024 to January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2024 to February 29,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2024 to March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1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20" w:hanging="564"/>
        <w:spacing w:after="0" w:line="298" w:lineRule="auto"/>
        <w:tabs>
          <w:tab w:leader="none" w:pos="12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 w:lineRule="exact"/>
        <w:rPr>
          <w:sz w:val="20"/>
          <w:szCs w:val="20"/>
          <w:color w:val="auto"/>
        </w:rPr>
      </w:pPr>
    </w:p>
    <w:p>
      <w:pPr>
        <w:ind w:left="1140" w:hanging="368"/>
        <w:spacing w:after="0" w:line="226" w:lineRule="auto"/>
        <w:tabs>
          <w:tab w:leader="none" w:pos="1120" w:val="left"/>
        </w:tabs>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60">
        <w:r>
          <w:rPr>
            <w:rFonts w:ascii="Times New Roman" w:cs="Times New Roman" w:eastAsia="Times New Roman" w:hAnsi="Times New Roman"/>
            <w:sz w:val="18"/>
            <w:szCs w:val="18"/>
            <w:u w:val="single" w:color="auto"/>
            <w:color w:val="0000FF"/>
          </w:rPr>
          <w:t>Master Agreement, dated November 14, 2014, by and among Pacific Premier Retail LP, MACPT LLC, Macerich PPR GP LLC, Queens JV</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LP, Macerich Queens JV LP, Queens JV GP LLC, 1700480 Ontario Inc. and the Company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Company’s Current Report on Form 8-K, event date November 14, 2014).</w:t>
        </w:r>
      </w:hyperlink>
    </w:p>
    <w:p>
      <w:pPr>
        <w:spacing w:after="0" w:line="9" w:lineRule="exact"/>
        <w:rPr>
          <w:rFonts w:ascii="Times New Roman" w:cs="Times New Roman" w:eastAsia="Times New Roman" w:hAnsi="Times New Roman"/>
          <w:sz w:val="18"/>
          <w:szCs w:val="18"/>
          <w:u w:val="single" w:color="auto"/>
          <w:color w:val="0000FF"/>
        </w:rPr>
      </w:pPr>
    </w:p>
    <w:p>
      <w:pPr>
        <w:ind w:left="1140" w:right="20" w:hanging="368"/>
        <w:spacing w:after="0" w:line="237" w:lineRule="auto"/>
        <w:tabs>
          <w:tab w:leader="none" w:pos="1120" w:val="left"/>
        </w:tabs>
        <w:rPr>
          <w:sz w:val="20"/>
          <w:szCs w:val="20"/>
          <w:color w:val="auto"/>
        </w:rPr>
      </w:pPr>
      <w:r>
        <w:rPr>
          <w:rFonts w:ascii="Times New Roman" w:cs="Times New Roman" w:eastAsia="Times New Roman" w:hAnsi="Times New Roman"/>
          <w:sz w:val="18"/>
          <w:szCs w:val="18"/>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10" w:lineRule="exact"/>
        <w:rPr>
          <w:rFonts w:ascii="Times New Roman" w:cs="Times New Roman" w:eastAsia="Times New Roman" w:hAnsi="Times New Roman"/>
          <w:sz w:val="18"/>
          <w:szCs w:val="18"/>
          <w:u w:val="single" w:color="auto"/>
          <w:color w:val="0000FF"/>
        </w:rPr>
      </w:pPr>
    </w:p>
    <w:p>
      <w:pPr>
        <w:ind w:left="1140" w:right="340" w:hanging="503"/>
        <w:spacing w:after="0" w:line="237" w:lineRule="auto"/>
        <w:tabs>
          <w:tab w:leader="none" w:pos="1120" w:val="left"/>
        </w:tabs>
        <w:rPr>
          <w:sz w:val="20"/>
          <w:szCs w:val="20"/>
          <w:color w:val="auto"/>
        </w:rPr>
      </w:pPr>
      <w:r>
        <w:rPr>
          <w:rFonts w:ascii="Times New Roman" w:cs="Times New Roman" w:eastAsia="Times New Roman" w:hAnsi="Times New Roman"/>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ind w:left="620"/>
        <w:spacing w:after="0"/>
        <w:tabs>
          <w:tab w:leader="none" w:pos="1120" w:val="left"/>
        </w:tabs>
        <w:rPr>
          <w:rFonts w:ascii="Times New Roman" w:cs="Times New Roman" w:eastAsia="Times New Roman" w:hAnsi="Times New Roman"/>
          <w:sz w:val="17"/>
          <w:szCs w:val="17"/>
          <w:u w:val="single" w:color="auto"/>
          <w:color w:val="0000FF"/>
        </w:rPr>
      </w:pPr>
      <w:hyperlink r:id="rId61">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r:id="rId61">
        <w:r>
          <w:rPr>
            <w:rFonts w:ascii="Times New Roman" w:cs="Times New Roman" w:eastAsia="Times New Roman" w:hAnsi="Times New Roman"/>
            <w:sz w:val="17"/>
            <w:szCs w:val="17"/>
            <w:u w:val="single" w:color="auto"/>
            <w:color w:val="0000FF"/>
          </w:rPr>
          <w:t>Articles Supplementary of the Company (with respect to the first paragraph) (incorporated by reference as an exhibit to the Company's</w:t>
        </w:r>
      </w:hyperlink>
    </w:p>
    <w:p>
      <w:pPr>
        <w:ind w:left="114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1998 Form 10-K).</w:t>
        </w:r>
      </w:hyperlink>
    </w:p>
    <w:p>
      <w:pPr>
        <w:spacing w:after="0" w:line="16" w:lineRule="exact"/>
        <w:rPr>
          <w:sz w:val="20"/>
          <w:szCs w:val="20"/>
          <w:color w:val="auto"/>
        </w:rPr>
      </w:pPr>
    </w:p>
    <w:p>
      <w:pPr>
        <w:ind w:left="1140" w:right="40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u w:val="single" w:color="auto"/>
          <w:color w:val="0000FF"/>
        </w:rPr>
        <w:tab/>
      </w:r>
      <w:hyperlink r:id="rId62">
        <w:r>
          <w:rPr>
            <w:rFonts w:ascii="Times New Roman" w:cs="Times New Roman" w:eastAsia="Times New Roman" w:hAnsi="Times New Roman"/>
            <w:sz w:val="18"/>
            <w:szCs w:val="18"/>
            <w:u w:val="single" w:color="auto"/>
            <w:color w:val="0000FF"/>
          </w:rPr>
          <w:t>Articles Supplementary of the Company (Series D Preferred Stock)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Report on Form 8-K, event date July 26, 2002).</w:t>
        </w:r>
      </w:hyperlink>
    </w:p>
    <w:p>
      <w:pPr>
        <w:spacing w:after="0" w:line="10" w:lineRule="exact"/>
        <w:rPr>
          <w:rFonts w:ascii="Times New Roman" w:cs="Times New Roman" w:eastAsia="Times New Roman" w:hAnsi="Times New Roman"/>
          <w:sz w:val="18"/>
          <w:szCs w:val="18"/>
          <w:u w:val="single" w:color="auto"/>
          <w:color w:val="0000FF"/>
        </w:rPr>
      </w:pPr>
    </w:p>
    <w:p>
      <w:pPr>
        <w:ind w:left="1140" w:right="6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3.1.4</w:t>
        </w:r>
      </w:hyperlink>
      <w:r>
        <w:rPr>
          <w:rFonts w:ascii="Times New Roman" w:cs="Times New Roman" w:eastAsia="Times New Roman" w:hAnsi="Times New Roman"/>
          <w:sz w:val="18"/>
          <w:szCs w:val="18"/>
          <w:u w:val="single" w:color="auto"/>
          <w:color w:val="0000FF"/>
        </w:rPr>
        <w:tab/>
      </w:r>
      <w:hyperlink r:id="rId63">
        <w:r>
          <w:rPr>
            <w:rFonts w:ascii="Times New Roman" w:cs="Times New Roman" w:eastAsia="Times New Roman" w:hAnsi="Times New Roman"/>
            <w:sz w:val="18"/>
            <w:szCs w:val="18"/>
            <w:u w:val="single" w:color="auto"/>
            <w:color w:val="0000FF"/>
          </w:rPr>
          <w:t>Articles Supplementary of the Company (incorporated by reference as an exhibit to the Company's Registration Statement on Form S-3, as</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amended (No. 333-88718)).</w:t>
        </w:r>
      </w:hyperlink>
    </w:p>
    <w:p>
      <w:pPr>
        <w:spacing w:after="0" w:line="10" w:lineRule="exact"/>
        <w:rPr>
          <w:rFonts w:ascii="Times New Roman" w:cs="Times New Roman" w:eastAsia="Times New Roman" w:hAnsi="Times New Roman"/>
          <w:sz w:val="18"/>
          <w:szCs w:val="18"/>
          <w:u w:val="single" w:color="auto"/>
          <w:color w:val="0000FF"/>
        </w:rPr>
      </w:pPr>
    </w:p>
    <w:p>
      <w:pPr>
        <w:ind w:left="1140" w:right="58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3.1.5</w:t>
        </w:r>
      </w:hyperlink>
      <w:r>
        <w:rPr>
          <w:rFonts w:ascii="Times New Roman" w:cs="Times New Roman" w:eastAsia="Times New Roman" w:hAnsi="Times New Roman"/>
          <w:sz w:val="18"/>
          <w:szCs w:val="18"/>
          <w:u w:val="single" w:color="auto"/>
          <w:color w:val="0000FF"/>
        </w:rPr>
        <w:tab/>
      </w:r>
      <w:hyperlink r:id="rId64">
        <w:r>
          <w:rPr>
            <w:rFonts w:ascii="Times New Roman" w:cs="Times New Roman" w:eastAsia="Times New Roman" w:hAnsi="Times New Roman"/>
            <w:sz w:val="18"/>
            <w:szCs w:val="18"/>
            <w:u w:val="single" w:color="auto"/>
            <w:color w:val="0000FF"/>
          </w:rPr>
          <w:t>Articles of Amendment of the Company (declassification of Board) (incorporated by reference as an exhibit to the Company's 2008</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Form 10-K).</w:t>
        </w:r>
      </w:hyperlink>
    </w:p>
    <w:p>
      <w:pPr>
        <w:spacing w:after="0" w:line="10" w:lineRule="exact"/>
        <w:rPr>
          <w:rFonts w:ascii="Times New Roman" w:cs="Times New Roman" w:eastAsia="Times New Roman" w:hAnsi="Times New Roman"/>
          <w:sz w:val="18"/>
          <w:szCs w:val="18"/>
          <w:u w:val="single" w:color="auto"/>
          <w:color w:val="0000FF"/>
        </w:rPr>
      </w:pPr>
    </w:p>
    <w:p>
      <w:pPr>
        <w:ind w:left="1140" w:right="34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3.1.6</w:t>
        </w:r>
      </w:hyperlink>
      <w:r>
        <w:rPr>
          <w:rFonts w:ascii="Times New Roman" w:cs="Times New Roman" w:eastAsia="Times New Roman" w:hAnsi="Times New Roman"/>
          <w:sz w:val="18"/>
          <w:szCs w:val="18"/>
          <w:u w:val="single" w:color="auto"/>
          <w:color w:val="0000FF"/>
        </w:rPr>
        <w:tab/>
      </w:r>
      <w:hyperlink r:id="rId65">
        <w:r>
          <w:rPr>
            <w:rFonts w:ascii="Times New Roman" w:cs="Times New Roman" w:eastAsia="Times New Roman" w:hAnsi="Times New Roman"/>
            <w:sz w:val="18"/>
            <w:szCs w:val="18"/>
            <w:u w:val="single" w:color="auto"/>
            <w:color w:val="0000FF"/>
          </w:rPr>
          <w:t>Articles Supplementary of the Company (incorporated by reference as an exhibit to the Company's Current Report on Form 8-K, event</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date February 5, 2009).</w:t>
        </w:r>
      </w:hyperlink>
    </w:p>
    <w:p>
      <w:pPr>
        <w:spacing w:after="0" w:line="10" w:lineRule="exact"/>
        <w:rPr>
          <w:rFonts w:ascii="Times New Roman" w:cs="Times New Roman" w:eastAsia="Times New Roman" w:hAnsi="Times New Roman"/>
          <w:sz w:val="18"/>
          <w:szCs w:val="18"/>
          <w:u w:val="single" w:color="auto"/>
          <w:color w:val="0000FF"/>
        </w:rPr>
      </w:pPr>
    </w:p>
    <w:p>
      <w:pPr>
        <w:ind w:left="1140" w:right="6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u w:val="single" w:color="auto"/>
          <w:color w:val="0000FF"/>
        </w:rPr>
        <w:tab/>
      </w:r>
      <w:hyperlink r:id="rId66">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Quarterly</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Report on Form 10-Q for the quarter ended June 30, 2009).</w:t>
        </w:r>
      </w:hyperlink>
    </w:p>
    <w:p>
      <w:pPr>
        <w:spacing w:after="0" w:line="10" w:lineRule="exact"/>
        <w:rPr>
          <w:rFonts w:ascii="Times New Roman" w:cs="Times New Roman" w:eastAsia="Times New Roman" w:hAnsi="Times New Roman"/>
          <w:sz w:val="18"/>
          <w:szCs w:val="18"/>
          <w:u w:val="single" w:color="auto"/>
          <w:color w:val="0000FF"/>
        </w:rPr>
      </w:pPr>
    </w:p>
    <w:p>
      <w:pPr>
        <w:jc w:val="center"/>
        <w:ind w:left="880" w:right="60"/>
        <w:spacing w:after="0" w:line="237"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3.1.8  Articles of Amendment of the Company (to eliminate the supermajority vote requirement to amend the charter and to clarify a reference in</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Article NINTH) (incorporated by reference as an exhibit to the Company’s Current Report on Form 8-K, event date May 30, 2014).</w:t>
        </w:r>
      </w:hyperlink>
    </w:p>
    <w:p>
      <w:pPr>
        <w:spacing w:after="0" w:line="10" w:lineRule="exact"/>
        <w:rPr>
          <w:sz w:val="20"/>
          <w:szCs w:val="20"/>
          <w:color w:val="auto"/>
        </w:rPr>
      </w:pPr>
    </w:p>
    <w:p>
      <w:pPr>
        <w:ind w:left="1140" w:right="10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3.1.9</w:t>
        </w:r>
      </w:hyperlink>
      <w:r>
        <w:rPr>
          <w:rFonts w:ascii="Times New Roman" w:cs="Times New Roman" w:eastAsia="Times New Roman" w:hAnsi="Times New Roman"/>
          <w:sz w:val="18"/>
          <w:szCs w:val="18"/>
          <w:u w:val="single" w:color="auto"/>
          <w:color w:val="0000FF"/>
        </w:rPr>
        <w:tab/>
      </w:r>
      <w:hyperlink r:id="rId68">
        <w:r>
          <w:rPr>
            <w:rFonts w:ascii="Times New Roman" w:cs="Times New Roman" w:eastAsia="Times New Roman" w:hAnsi="Times New Roman"/>
            <w:sz w:val="18"/>
            <w:szCs w:val="18"/>
            <w:u w:val="single" w:color="auto"/>
            <w:color w:val="0000FF"/>
          </w:rPr>
          <w:t>Articles Supplementary of the Company (election to be subject to Section 3-803 of the Maryland General Corporation Law) (incorporated</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by reference as an exhibit to the Company’s Current Report on Form 8-K, event date March 17,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4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3.1.10</w:t>
        </w:r>
      </w:hyperlink>
      <w:r>
        <w:rPr>
          <w:rFonts w:ascii="Times New Roman" w:cs="Times New Roman" w:eastAsia="Times New Roman" w:hAnsi="Times New Roman"/>
          <w:sz w:val="18"/>
          <w:szCs w:val="18"/>
          <w:u w:val="single" w:color="auto"/>
          <w:color w:val="0000FF"/>
        </w:rPr>
        <w:tab/>
      </w:r>
      <w:hyperlink r:id="rId69">
        <w:r>
          <w:rPr>
            <w:rFonts w:ascii="Times New Roman" w:cs="Times New Roman" w:eastAsia="Times New Roman" w:hAnsi="Times New Roman"/>
            <w:sz w:val="18"/>
            <w:szCs w:val="18"/>
            <w:u w:val="single" w:color="auto"/>
            <w:color w:val="0000FF"/>
          </w:rPr>
          <w:t>Articles Supplementary of the Company (Series E Preferred Stock)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Report on Form 8-K, event date March 18,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160" w:hanging="586"/>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3.1.11</w:t>
        </w:r>
      </w:hyperlink>
      <w:r>
        <w:rPr>
          <w:rFonts w:ascii="Times New Roman" w:cs="Times New Roman" w:eastAsia="Times New Roman" w:hAnsi="Times New Roman"/>
          <w:sz w:val="18"/>
          <w:szCs w:val="18"/>
          <w:u w:val="single" w:color="auto"/>
          <w:color w:val="0000FF"/>
        </w:rPr>
        <w:tab/>
      </w:r>
      <w:hyperlink r:id="rId70">
        <w:r>
          <w:rPr>
            <w:rFonts w:ascii="Times New Roman" w:cs="Times New Roman" w:eastAsia="Times New Roman" w:hAnsi="Times New Roman"/>
            <w:sz w:val="18"/>
            <w:szCs w:val="18"/>
            <w:u w:val="single" w:color="auto"/>
            <w:color w:val="0000FF"/>
          </w:rPr>
          <w:t>Articles Supplementary of the Company (reclassification of Series E Preferred Stock to Preferred Stock) (incorporated by reference as an</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exhibit to the Company’s Current Report on Form 8-K, event date May 7,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44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3.1.12</w:t>
        </w:r>
      </w:hyperlink>
      <w:r>
        <w:rPr>
          <w:rFonts w:ascii="Times New Roman" w:cs="Times New Roman" w:eastAsia="Times New Roman" w:hAnsi="Times New Roman"/>
          <w:sz w:val="18"/>
          <w:szCs w:val="18"/>
          <w:u w:val="single" w:color="auto"/>
          <w:color w:val="0000FF"/>
        </w:rPr>
        <w:tab/>
      </w:r>
      <w:hyperlink r:id="rId71">
        <w:r>
          <w:rPr>
            <w:rFonts w:ascii="Times New Roman" w:cs="Times New Roman" w:eastAsia="Times New Roman" w:hAnsi="Times New Roman"/>
            <w:sz w:val="18"/>
            <w:szCs w:val="18"/>
            <w:u w:val="single" w:color="auto"/>
            <w:color w:val="0000FF"/>
          </w:rPr>
          <w:t>Articles Supplementary of the Company (repeal of election to be subject to Section 3-803 of the Maryland General Corporation Law)</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(incorporated by reference as an exhibit to the Company’s Current Report on Form 8-K, event date May 28,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1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3.1.13</w:t>
        </w:r>
      </w:hyperlink>
      <w:r>
        <w:rPr>
          <w:rFonts w:ascii="Times New Roman" w:cs="Times New Roman" w:eastAsia="Times New Roman" w:hAnsi="Times New Roman"/>
          <w:sz w:val="18"/>
          <w:szCs w:val="18"/>
          <w:u w:val="single" w:color="auto"/>
          <w:color w:val="0000FF"/>
        </w:rPr>
        <w:tab/>
      </w:r>
      <w:hyperlink r:id="rId72">
        <w:r>
          <w:rPr>
            <w:rFonts w:ascii="Times New Roman" w:cs="Times New Roman" w:eastAsia="Times New Roman" w:hAnsi="Times New Roman"/>
            <w:sz w:val="18"/>
            <w:szCs w:val="18"/>
            <w:u w:val="single" w:color="auto"/>
            <w:color w:val="0000FF"/>
          </w:rPr>
          <w:t>Articles Supplementary of the Company (opting out of provisions of Subtitle 8 of Title 3 of the Maryland General Corporate Law (MUTA</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provisions)) (incorporated by reference as an exhibit to the Company’s Current Report on Form 8-K, event date April 24, 2019).</w:t>
        </w:r>
      </w:hyperlink>
    </w:p>
    <w:p>
      <w:pPr>
        <w:spacing w:after="0" w:line="10" w:lineRule="exact"/>
        <w:rPr>
          <w:rFonts w:ascii="Times New Roman" w:cs="Times New Roman" w:eastAsia="Times New Roman" w:hAnsi="Times New Roman"/>
          <w:sz w:val="18"/>
          <w:szCs w:val="18"/>
          <w:u w:val="single" w:color="auto"/>
          <w:color w:val="0000FF"/>
        </w:rPr>
      </w:pPr>
    </w:p>
    <w:p>
      <w:pPr>
        <w:ind w:left="1140" w:right="2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3.1.14</w:t>
        </w:r>
      </w:hyperlink>
      <w:r>
        <w:rPr>
          <w:rFonts w:ascii="Times New Roman" w:cs="Times New Roman" w:eastAsia="Times New Roman" w:hAnsi="Times New Roman"/>
          <w:sz w:val="18"/>
          <w:szCs w:val="18"/>
          <w:u w:val="single" w:color="auto"/>
          <w:color w:val="0000FF"/>
        </w:rPr>
        <w:tab/>
      </w:r>
      <w:hyperlink r:id="rId73">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Report on Form 8-K, event date May 28, 2021).</w:t>
        </w:r>
      </w:hyperlink>
    </w:p>
    <w:p>
      <w:pPr>
        <w:spacing w:after="0" w:line="10" w:lineRule="exact"/>
        <w:rPr>
          <w:rFonts w:ascii="Times New Roman" w:cs="Times New Roman" w:eastAsia="Times New Roman" w:hAnsi="Times New Roman"/>
          <w:sz w:val="18"/>
          <w:szCs w:val="18"/>
          <w:u w:val="single" w:color="auto"/>
          <w:color w:val="0000FF"/>
        </w:rPr>
      </w:pPr>
    </w:p>
    <w:p>
      <w:pPr>
        <w:ind w:left="1140" w:right="220" w:hanging="368"/>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74">
        <w:r>
          <w:rPr>
            <w:rFonts w:ascii="Times New Roman" w:cs="Times New Roman" w:eastAsia="Times New Roman" w:hAnsi="Times New Roman"/>
            <w:sz w:val="18"/>
            <w:szCs w:val="18"/>
            <w:u w:val="single" w:color="auto"/>
            <w:color w:val="0000FF"/>
          </w:rPr>
          <w:t>Amended and Restated Bylaws of the Company (incorporated by reference as an exhibit to the Company's Current Report on Form 8-K,</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event date January 26, 2023).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2"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11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color w:val="0000FF"/>
              </w:rPr>
              <w:t>Table of Contents</w:t>
            </w: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0" w:type="dxa"/>
            <w:vAlign w:val="bottom"/>
            <w:gridSpan w:val="10"/>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80" w:type="dxa"/>
            <w:vAlign w:val="bottom"/>
            <w:gridSpan w:val="2"/>
          </w:tcPr>
          <w:p>
            <w:pPr>
              <w:spacing w:after="0"/>
              <w:rPr>
                <w:sz w:val="17"/>
                <w:szCs w:val="17"/>
                <w:color w:val="auto"/>
              </w:rPr>
            </w:pPr>
          </w:p>
        </w:tc>
        <w:tc>
          <w:tcPr>
            <w:tcW w:w="420" w:type="dxa"/>
            <w:vAlign w:val="bottom"/>
            <w:gridSpan w:val="4"/>
          </w:tcPr>
          <w:p>
            <w:pPr>
              <w:jc w:val="right"/>
              <w:ind w:right="20"/>
              <w:spacing w:after="0" w:line="199" w:lineRule="exact"/>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2"/>
          </w:tcPr>
          <w:p>
            <w:pPr>
              <w:spacing w:after="0" w:line="199" w:lineRule="exact"/>
              <w:rPr>
                <w:sz w:val="20"/>
                <w:szCs w:val="20"/>
                <w:color w:val="auto"/>
              </w:rPr>
            </w:pPr>
            <w:r>
              <w:rPr>
                <w:rFonts w:ascii="Times New Roman" w:cs="Times New Roman" w:eastAsia="Times New Roman" w:hAnsi="Times New Roman"/>
                <w:sz w:val="18"/>
                <w:szCs w:val="18"/>
                <w:color w:val="0000FF"/>
              </w:rPr>
              <w:t>The Macerich Company Amended and Restated Severance Pay Plan, effective as of March 1, 2024.</w:t>
            </w:r>
          </w:p>
        </w:tc>
        <w:tc>
          <w:tcPr>
            <w:tcW w:w="0" w:type="dxa"/>
            <w:vAlign w:val="bottom"/>
          </w:tcPr>
          <w:p>
            <w:pPr>
              <w:spacing w:after="0"/>
              <w:rPr>
                <w:sz w:val="1"/>
                <w:szCs w:val="1"/>
                <w:color w:val="auto"/>
              </w:rPr>
            </w:pPr>
          </w:p>
        </w:tc>
      </w:tr>
      <w:tr>
        <w:trPr>
          <w:trHeight w:val="210"/>
        </w:trPr>
        <w:tc>
          <w:tcPr>
            <w:tcW w:w="580" w:type="dxa"/>
            <w:vAlign w:val="bottom"/>
            <w:gridSpan w:val="2"/>
          </w:tcPr>
          <w:p>
            <w:pPr>
              <w:spacing w:after="0"/>
              <w:rPr>
                <w:sz w:val="18"/>
                <w:szCs w:val="18"/>
                <w:color w:val="auto"/>
              </w:rPr>
            </w:pPr>
          </w:p>
        </w:tc>
        <w:tc>
          <w:tcPr>
            <w:tcW w:w="420" w:type="dxa"/>
            <w:vAlign w:val="bottom"/>
            <w:tcBorders>
              <w:top w:val="single" w:sz="8" w:color="0000FF"/>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Employment Agreement between the Company and Jackson Hsieh, effective as of March 1, 2024.</w:t>
            </w:r>
          </w:p>
        </w:tc>
        <w:tc>
          <w:tcPr>
            <w:tcW w:w="100" w:type="dxa"/>
            <w:vAlign w:val="bottom"/>
            <w:tcBorders>
              <w:top w:val="single" w:sz="8" w:color="0000FF"/>
            </w:tcBorders>
          </w:tcPr>
          <w:p>
            <w:pPr>
              <w:spacing w:after="0"/>
              <w:rPr>
                <w:sz w:val="18"/>
                <w:szCs w:val="18"/>
                <w:color w:val="auto"/>
              </w:rPr>
            </w:pPr>
          </w:p>
        </w:tc>
        <w:tc>
          <w:tcPr>
            <w:tcW w:w="27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The Macerich Company Sign-On LTIP Inducement Unit Award Agreement (Service-Based) between the Company and Jackson Hsieh,</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dated March 1, 2024.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The Macerich Company 2024 LTIP Inducement Unit Award Agreement (Service-Based) between the Company and Jackson Hsieh, dated</w:t>
            </w: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March 1, 2024.</w:t>
            </w:r>
          </w:p>
        </w:tc>
        <w:tc>
          <w:tcPr>
            <w:tcW w:w="88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The Macerich Company 2024 LTIP Inducement Unit Award Agreement (Performance-Based) between the Company and Jackson Hsieh,</w:t>
            </w: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dated March 1, 2024.</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Letter Agreement between the Company and Edward C. Coppola, dated February 2, 2024.</w:t>
            </w:r>
          </w:p>
        </w:tc>
        <w:tc>
          <w:tcPr>
            <w:tcW w:w="0" w:type="dxa"/>
            <w:vAlign w:val="bottom"/>
          </w:tcPr>
          <w:p>
            <w:pPr>
              <w:spacing w:after="0"/>
              <w:rPr>
                <w:sz w:val="1"/>
                <w:szCs w:val="1"/>
                <w:color w:val="auto"/>
              </w:rPr>
            </w:pPr>
          </w:p>
        </w:tc>
      </w:tr>
      <w:tr>
        <w:trPr>
          <w:trHeight w:val="210"/>
        </w:trPr>
        <w:tc>
          <w:tcPr>
            <w:tcW w:w="600" w:type="dxa"/>
            <w:vAlign w:val="bottom"/>
            <w:gridSpan w:val="3"/>
          </w:tcPr>
          <w:p>
            <w:pPr>
              <w:spacing w:after="0"/>
              <w:rPr>
                <w:sz w:val="18"/>
                <w:szCs w:val="18"/>
                <w:color w:val="auto"/>
              </w:rPr>
            </w:pPr>
          </w:p>
        </w:tc>
        <w:tc>
          <w:tcPr>
            <w:tcW w:w="400" w:type="dxa"/>
            <w:vAlign w:val="bottom"/>
            <w:tcBorders>
              <w:top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Section 302 Certification of Jackson Hsieh, Chief Executive Officer</w:t>
            </w:r>
          </w:p>
        </w:tc>
        <w:tc>
          <w:tcPr>
            <w:tcW w:w="1600" w:type="dxa"/>
            <w:vAlign w:val="bottom"/>
            <w:tcBorders>
              <w:top w:val="single" w:sz="8" w:color="0000FF"/>
            </w:tcBorders>
            <w:gridSpan w:val="2"/>
          </w:tcPr>
          <w:p>
            <w:pPr>
              <w:spacing w:after="0"/>
              <w:rPr>
                <w:sz w:val="18"/>
                <w:szCs w:val="18"/>
                <w:color w:val="auto"/>
              </w:rPr>
            </w:pPr>
          </w:p>
        </w:tc>
        <w:tc>
          <w:tcPr>
            <w:tcW w:w="34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Section 302 Certification of Scott Kingsmore, Chief Financial Officer</w:t>
            </w:r>
          </w:p>
        </w:tc>
        <w:tc>
          <w:tcPr>
            <w:tcW w:w="0" w:type="dxa"/>
            <w:vAlign w:val="bottom"/>
          </w:tcPr>
          <w:p>
            <w:pPr>
              <w:spacing w:after="0"/>
              <w:rPr>
                <w:sz w:val="1"/>
                <w:szCs w:val="1"/>
                <w:color w:val="auto"/>
              </w:rPr>
            </w:pPr>
          </w:p>
        </w:tc>
      </w:tr>
      <w:tr>
        <w:trPr>
          <w:trHeight w:val="209"/>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Section 906 Certifications of Jackson Hsieh and Scott Kingsmore</w:t>
            </w:r>
          </w:p>
        </w:tc>
        <w:tc>
          <w:tcPr>
            <w:tcW w:w="49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1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firstLine="719"/>
        <w:spacing w:after="0" w:line="623" w:lineRule="auto"/>
        <w:tabs>
          <w:tab w:leader="none" w:pos="112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Represents a management contract, or compensatory plan, contract or arrangement required to be filed pursuant to Regulation S-K.</w:t>
      </w: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48" w:lineRule="exact"/>
        <w:rPr>
          <w:sz w:val="20"/>
          <w:szCs w:val="20"/>
          <w:color w:val="auto"/>
        </w:rPr>
      </w:pPr>
    </w:p>
    <w:p>
      <w:pPr>
        <w:ind w:right="1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W. KINGSMORE</w:t>
            </w:r>
          </w:p>
        </w:tc>
      </w:tr>
      <w:tr>
        <w:trPr>
          <w:trHeight w:val="216"/>
        </w:trPr>
        <w:tc>
          <w:tcPr>
            <w:tcW w:w="51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W. Kingsmore</w:t>
            </w:r>
          </w:p>
        </w:tc>
      </w:tr>
      <w:tr>
        <w:trPr>
          <w:trHeight w:val="230"/>
        </w:trPr>
        <w:tc>
          <w:tcPr>
            <w:tcW w:w="51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Executive Vice President, Treasurer and Chief Financial Officer</w:t>
            </w: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00"/>
          </w:cols>
          <w:pgMar w:left="320" w:top="118" w:right="679" w:bottom="1440" w:gutter="0" w:footer="0" w:header="0"/>
        </w:sectPr>
      </w:pPr>
    </w:p>
    <w:bookmarkStart w:id="45" w:name="page46"/>
    <w:bookmarkEnd w:id="45"/>
    <w:p>
      <w:pPr>
        <w:ind w:left="506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THE MACERICH COMPANY</w:t>
      </w: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SEVERANCE PAY PLAN</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Macerich Company Change in Control Severance Pay Plan for Executive Vice Presidents and the Macerich Company Change in Control Severance Pay Plan for Senior Executives are each hereby amended and restated by the Company (as defined below), effective as of January [●],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into a single combined plan, and such plan, as amended and restated herein and renamed,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Plan is intended to be a top hat welfare benefit plan under ERISA for the benefit of a select group of management or highly-compensated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PURPOSE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Board of Directors of the Company believes that it is in the best interests of the Company to encourage the continued dedication to the Company of certain of the Company’s and its Subsidiaries’ employees in the face of potentially distracting circumstances arising from the possibility or occurrence of a termination of employment, whether or not in connection with a change in control of the Company, and the Board (defined below) has established the Plan for this purpose. The purpose of the Plan is to provide severance benefits in the event certain employees incur a Qualified Termination.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DEFINITIONS</w:t>
      </w:r>
    </w:p>
    <w:p>
      <w:pPr>
        <w:spacing w:after="0" w:line="220" w:lineRule="exact"/>
        <w:rPr>
          <w:sz w:val="20"/>
          <w:szCs w:val="20"/>
          <w:color w:val="auto"/>
        </w:rPr>
      </w:pPr>
    </w:p>
    <w:p>
      <w:pPr>
        <w:ind w:left="1940" w:hanging="636"/>
        <w:spacing w:after="0"/>
        <w:tabs>
          <w:tab w:leader="none" w:pos="19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means, with respect to an Eligible Employee, the sum of the Eligible Employee’s</w:t>
      </w:r>
    </w:p>
    <w:p>
      <w:pPr>
        <w:spacing w:after="0" w:line="29" w:lineRule="exact"/>
        <w:rPr>
          <w:rFonts w:ascii="Times New Roman" w:cs="Times New Roman" w:eastAsia="Times New Roman" w:hAnsi="Times New Roman"/>
          <w:sz w:val="22"/>
          <w:szCs w:val="22"/>
          <w:color w:val="auto"/>
        </w:rPr>
      </w:pPr>
    </w:p>
    <w:p>
      <w:pPr>
        <w:jc w:val="both"/>
        <w:ind w:firstLine="8"/>
        <w:spacing w:after="0" w:line="246" w:lineRule="auto"/>
        <w:tabs>
          <w:tab w:leader="none" w:pos="27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 through the Date of Termination to the extent earned and not theretofore paid, (ii) accrued vacation pay and/or personal days to the extent earned and payable in connection with the termination of employment pursuant to the Company’s policy, (iii) accrued annual incentive bonus for the fiscal year immediately preceding the year in which the Date of Termination occurs, to the extent such bonus is determined to otherwise have been earned based on the Company’s achievement of applicable performance targets and employee service requirements, but not theretofore paid, and (iv) vested rights under any equity, compensation or benefit plan, policy, practice or program of or any other contract or agreement with the Company or the Employer including, without limitation, any acceleration of vesting of equity awards that shall occur upon a Qualifying Termination as set forth in the applicable equity award agreement and/or equity incentive plan pursuant to which such awards have been granted (“</w:t>
      </w:r>
      <w:r>
        <w:rPr>
          <w:rFonts w:ascii="Times New Roman" w:cs="Times New Roman" w:eastAsia="Times New Roman" w:hAnsi="Times New Roman"/>
          <w:sz w:val="22"/>
          <w:szCs w:val="22"/>
          <w:u w:val="single" w:color="auto"/>
          <w:color w:val="auto"/>
        </w:rPr>
        <w:t>Double Trigger Equity Vesting</w:t>
      </w:r>
      <w:r>
        <w:rPr>
          <w:rFonts w:ascii="Times New Roman" w:cs="Times New Roman" w:eastAsia="Times New Roman" w:hAnsi="Times New Roman"/>
          <w:sz w:val="22"/>
          <w:szCs w:val="22"/>
          <w:color w:val="auto"/>
        </w:rPr>
        <w:t>”). Accrued Obligations described in clauses (i) and (ii) shall be paid in a lump sum in cash within the time required by law but in no event more than 30 days after the Date of Termination. Accrued Obligations described in clause (iii) shall be paid at such time as annual incentive bonuses for such fiscal year are otherwise paid pursuant to the terms of the applicable plan, but in no event later than 75 days after the end of such fiscal year. Accrued Obligations described in clause (iv) (including without limitation the Double Trigger Equity Vesting) shall be paid at such time(s) as required under the terms of the applicable plan or program.</w:t>
      </w:r>
    </w:p>
    <w:p>
      <w:pPr>
        <w:spacing w:after="0" w:line="19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means the annual base rate of compensation payable as salary to the Eligible Employee by the Employer as of the Eligible Employee’s Date of Termination or as of immediately prior to the first day of the Change in Control Period, whichever is higher, before deductions of voluntary deferrals authorized by the Eligible Employee or required by law to be withheld</w:t>
      </w:r>
    </w:p>
    <w:p>
      <w:pPr>
        <w:sectPr>
          <w:pgSz w:w="11900" w:h="16838" w:orient="portrait"/>
          <w:cols w:equalWidth="0" w:num="1">
            <w:col w:w="11240"/>
          </w:cols>
          <w:pgMar w:left="320" w:top="1418" w:right="339" w:bottom="1440" w:gutter="0" w:footer="0" w:header="0"/>
        </w:sectPr>
      </w:pPr>
    </w:p>
    <w:bookmarkStart w:id="46" w:name="page47"/>
    <w:bookmarkEnd w:id="46"/>
    <w:p>
      <w:pPr>
        <w:ind w:right="20"/>
        <w:spacing w:after="0" w:line="271" w:lineRule="auto"/>
        <w:rPr>
          <w:sz w:val="20"/>
          <w:szCs w:val="20"/>
          <w:color w:val="auto"/>
        </w:rPr>
      </w:pPr>
      <w:r>
        <w:rPr>
          <w:rFonts w:ascii="Times New Roman" w:cs="Times New Roman" w:eastAsia="Times New Roman" w:hAnsi="Times New Roman"/>
          <w:sz w:val="22"/>
          <w:szCs w:val="22"/>
          <w:color w:val="auto"/>
        </w:rPr>
        <w:t>from the Eligible Employee by the Employer, and excludes all other extra pay such as overtime, pensions, severance payments, bonuses, stock incentives, living or other allowances, and other benefits and perquisites.</w:t>
      </w:r>
    </w:p>
    <w:p>
      <w:pPr>
        <w:spacing w:after="0" w:line="158" w:lineRule="exact"/>
        <w:rPr>
          <w:sz w:val="20"/>
          <w:szCs w:val="20"/>
          <w:color w:val="auto"/>
        </w:rPr>
      </w:pPr>
    </w:p>
    <w:p>
      <w:pPr>
        <w:ind w:left="1940" w:hanging="636"/>
        <w:spacing w:after="0"/>
        <w:tabs>
          <w:tab w:leader="none" w:pos="1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3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xml:space="preserve">” means, with respect to an Eligible Employee, the average of the annual incentive bonuses awarded to the Eligible Employee in respect of the immediately preceding three years (including, for the avoidance of doubt, the grant date fair value of any annual incentive bonuses awarded in the form of cash and/or equity, </w:t>
      </w:r>
      <w:r>
        <w:rPr>
          <w:rFonts w:ascii="Times New Roman" w:cs="Times New Roman" w:eastAsia="Times New Roman" w:hAnsi="Times New Roman"/>
          <w:sz w:val="22"/>
          <w:szCs w:val="22"/>
          <w:u w:val="single" w:color="auto"/>
          <w:color w:val="auto"/>
        </w:rPr>
        <w:t>but</w:t>
      </w:r>
      <w:r>
        <w:rPr>
          <w:rFonts w:ascii="Times New Roman" w:cs="Times New Roman" w:eastAsia="Times New Roman" w:hAnsi="Times New Roman"/>
          <w:sz w:val="22"/>
          <w:szCs w:val="22"/>
          <w:color w:val="auto"/>
        </w:rPr>
        <w:t xml:space="preserve"> excluding for the avoidance of doubt, any equity incentive awards granted as part of the Company’s long-term equity incentive award program, which exists separate and apart from the Company’s annual short-term incentive bonus program).</w:t>
      </w:r>
    </w:p>
    <w:p>
      <w:pPr>
        <w:spacing w:after="0" w:line="194"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4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with respect to an Eligible Employee, the occurrence of any of the following events, as reasonably determined by the Plan Administrator in its sole discretion: (i) the Eligible Employee’s willful misconduct or gross negligence in the performance of the Eligible Employee’s duties to the Company or any of its subsidiaries; (ii) the Eligible Employee’s repeated failure to perform the Eligible Employee’s lawful duties to the Company or any of its subsidiaries or follow the lawful written directives of the Board (other than as a result of death or physical or mental incapacity); (iii) the Eligible Employee’s conviction of, or pleading of guilty or nolo contendere to, a felony or any crime involving moral turpitude; (iv) the Eligible Employee’s performance of any material act of theft, embezzlement, fraud, malfeasance, dishonesty or misappropriation of the property of the Company or any of its subsidiaries; (v) the Eligible Employee’s use of alcohol or illegal drugs that materially impairs the Employee’s ability to perform the Employee’s duties contemplated hereunder; (vi) the Eligible Employee’s material breach of any fiduciary duty owed to the Company or any of its subsidiaries (including, without limitation, the duty of care and the duty of loyalty); or (vii) the Eligible Employee’s material breach of any employment agreement between the Eligible Employee and the Company, or a material violation of the Company’s (or any of its subsidiaries’) code of conduct or other written policy pursuant to which the Eligible Employee would be subject to immediate dismissal.</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 termination for Cause shall be deemed to occur on the date on which the Employer first delivers written notice to the Eligible Employee of a finding of termination for Cause; provided, however, that such termination shall only occur following the Eligible Employee’s failure to cure, within ten days after receiving notice from the Company of an allegation of an act or failure to act of the kind described above, to the extent the Company determines such act or failure to act is curable.</w:t>
      </w:r>
    </w:p>
    <w:p>
      <w:pPr>
        <w:spacing w:after="0" w:line="176" w:lineRule="exact"/>
        <w:rPr>
          <w:sz w:val="20"/>
          <w:szCs w:val="20"/>
          <w:color w:val="auto"/>
        </w:rPr>
      </w:pPr>
    </w:p>
    <w:p>
      <w:pPr>
        <w:ind w:left="1960" w:hanging="656"/>
        <w:spacing w:after="0"/>
        <w:tabs>
          <w:tab w:leader="none" w:pos="19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any of the following:</w:t>
      </w:r>
    </w:p>
    <w:p>
      <w:pPr>
        <w:spacing w:after="0" w:line="21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individual, entity or group (within the meaning of Section 13(d)(3) or 14(d)</w:t>
      </w:r>
    </w:p>
    <w:p>
      <w:pPr>
        <w:spacing w:after="0" w:line="27" w:lineRule="exact"/>
        <w:rPr>
          <w:rFonts w:ascii="Times New Roman" w:cs="Times New Roman" w:eastAsia="Times New Roman" w:hAnsi="Times New Roman"/>
          <w:sz w:val="22"/>
          <w:szCs w:val="22"/>
          <w:color w:val="auto"/>
        </w:rPr>
      </w:pPr>
    </w:p>
    <w:p>
      <w:pPr>
        <w:jc w:val="both"/>
        <w:ind w:firstLine="8"/>
        <w:spacing w:after="0" w:line="246" w:lineRule="auto"/>
        <w:tabs>
          <w:tab w:leader="none" w:pos="32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(such individual, entity or group, a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of beneficial ownership (within the meaning of Rule 13d-3 promulgated under the Exchange Act) of 33% or more of either (A) the then- outstanding shares of common stock of the Company (the “</w:t>
      </w:r>
      <w:r>
        <w:rPr>
          <w:rFonts w:ascii="Times New Roman" w:cs="Times New Roman" w:eastAsia="Times New Roman" w:hAnsi="Times New Roman"/>
          <w:sz w:val="22"/>
          <w:szCs w:val="22"/>
          <w:u w:val="single" w:color="auto"/>
          <w:color w:val="auto"/>
        </w:rPr>
        <w:t>Outstanding Company Common Stock</w:t>
      </w:r>
      <w:r>
        <w:rPr>
          <w:rFonts w:ascii="Times New Roman" w:cs="Times New Roman" w:eastAsia="Times New Roman" w:hAnsi="Times New Roman"/>
          <w:sz w:val="22"/>
          <w:szCs w:val="22"/>
          <w:color w:val="auto"/>
        </w:rPr>
        <w:t>”) or (B) the combined voting power of the then-outstanding voting securities of the Company entitled to vote generally in the election of directors (the “</w:t>
      </w:r>
      <w:r>
        <w:rPr>
          <w:rFonts w:ascii="Times New Roman" w:cs="Times New Roman" w:eastAsia="Times New Roman" w:hAnsi="Times New Roman"/>
          <w:sz w:val="22"/>
          <w:szCs w:val="22"/>
          <w:u w:val="single" w:color="auto"/>
          <w:color w:val="auto"/>
        </w:rPr>
        <w:t>Outstanding Company Voting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definition, the following acquisitions shall not constitute a Change in Control: (i) 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22"/>
          <w:szCs w:val="22"/>
          <w:color w:val="auto"/>
        </w:rPr>
        <w:t>acquisition directly from the Company, (ii) any acquisition by the Company, (iii) any acquisition by any employee benefit plan (or related trust) sponsored or maintained by the Company or any affiliate of the Company or successor or (iv) any acquisition by any entity pursuant to a transaction that complies with (f)(iii)(1), (f)(iii)(2) or (f)(iii) (3) below;</w:t>
      </w:r>
    </w:p>
    <w:p>
      <w:pPr>
        <w:spacing w:after="0" w:line="186" w:lineRule="exact"/>
        <w:rPr>
          <w:sz w:val="20"/>
          <w:szCs w:val="20"/>
          <w:color w:val="auto"/>
        </w:rPr>
      </w:pPr>
    </w:p>
    <w:p>
      <w:pPr>
        <w:jc w:val="both"/>
        <w:ind w:firstLine="1952"/>
        <w:spacing w:after="0" w:line="249" w:lineRule="auto"/>
        <w:tabs>
          <w:tab w:leader="none" w:pos="258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Effective Date, constitute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cease for any reason to constitute at least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individual becoming a director subsequent to the date hereof whose election, or nomination for election by the Company’s stockholders, was approved by a vote of at least two- thirds of the directors then comprising the Incumbent Board (including for these purposes, the new members whose election or nomination was so approved, without counting the member and her/his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1" w:lineRule="exact"/>
        <w:rPr>
          <w:rFonts w:ascii="Times New Roman" w:cs="Times New Roman" w:eastAsia="Times New Roman" w:hAnsi="Times New Roman"/>
          <w:sz w:val="22"/>
          <w:szCs w:val="22"/>
          <w:color w:val="auto"/>
        </w:rPr>
      </w:pPr>
    </w:p>
    <w:p>
      <w:pPr>
        <w:jc w:val="both"/>
        <w:ind w:firstLine="1952"/>
        <w:spacing w:after="0" w:line="247" w:lineRule="auto"/>
        <w:tabs>
          <w:tab w:leader="none" w:pos="25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Times New Roman" w:cs="Times New Roman" w:eastAsia="Times New Roman" w:hAnsi="Times New Roman"/>
          <w:sz w:val="22"/>
          <w:szCs w:val="22"/>
          <w:u w:val="single" w:color="auto"/>
          <w:color w:val="auto"/>
        </w:rPr>
        <w:t>Business Combination</w:t>
      </w:r>
      <w:r>
        <w:rPr>
          <w:rFonts w:ascii="Times New Roman" w:cs="Times New Roman" w:eastAsia="Times New Roman" w:hAnsi="Times New Roman"/>
          <w:sz w:val="22"/>
          <w:szCs w:val="22"/>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or any employee benefit plan (or related trust) of the Company or such entity resulting from such Business Combination or Parent) beneficially owns, directly or indirectly, 20% or more of, respectively, the then-outstanding shares of common stock of the entity resulting from such Business Combination or the combined voting power of the then-outstanding voting securities of such entity, except to the extent that the ownership in excess of 20% existed prior to the Business Combination, and (3) at least a majority of the members of the board of directors or trustees of the entity resulting from such Business Combination were members of the Incumbent Board at the time of the execution of the initial agreement or of the action of the Board providing for such Business Combination; or</w:t>
      </w:r>
    </w:p>
    <w:p>
      <w:pPr>
        <w:spacing w:after="0" w:line="19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stockholders of the Company of a complete liquidation or dissolution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in the Plan, to the extent required by Section 409A, an event shall constitute a Change in Control under the Plan only to the extent such event is a permissible payment event under Section 409A of the Code and Treas. Reg. § 1.409A-3(i)(5).</w:t>
      </w:r>
    </w:p>
    <w:p>
      <w:pPr>
        <w:spacing w:after="0" w:line="186" w:lineRule="exact"/>
        <w:rPr>
          <w:sz w:val="20"/>
          <w:szCs w:val="20"/>
          <w:color w:val="auto"/>
        </w:rPr>
      </w:pPr>
    </w:p>
    <w:p>
      <w:pPr>
        <w:ind w:right="20" w:firstLine="1304"/>
        <w:spacing w:after="0" w:line="271"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period commencing upon the consummation of a Change in Control and ending 24 months after such Change in Control.</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Internal Revenue Code of 1986, as amended.</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Macerich Company, a Maryland corporation, or, from and after a Change in Control, the successor to the Company in any such Change in Control.</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means, with respect to an Eligible Employee, the effective date of termination of the Eligible Employee’s employment with the Employer.</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a “disability”, as determined under the Company’s long-term disability plan in effect on the Date of Termination, entitling the Eligible Employee to benefits under such long-term disability plan.</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means a Tier 1 Executive, a Tier 2 Executive and a Tier 3 Executive, provided that such executive is not a party to an individual agreement with the Employer that provides for greater severance payments and benefits, in the aggregate.</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means Macerich Management Company or other Subsidiary that employs one or more Eligible Employees, or, from and after the Change in Control, any other subsidiaries of the successor to the Company that employ the Eligible Employees.</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33"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an action taken by the Employer, without the Eligible Employee’s written consent thereto, resulting in a material negative change in the employment relationship. For these purposes, a “material negative change in the employment relationship” shall include, without limitation, any one or more of the following reasons, to the extent not remedied by the Employer within 30 days after receipt by the Employer of written notice from the Eligible Employee provided to the Company within 90 days (the “</w:t>
      </w:r>
      <w:r>
        <w:rPr>
          <w:rFonts w:ascii="Times New Roman" w:cs="Times New Roman" w:eastAsia="Times New Roman" w:hAnsi="Times New Roman"/>
          <w:sz w:val="21"/>
          <w:szCs w:val="21"/>
          <w:u w:val="single" w:color="auto"/>
          <w:color w:val="auto"/>
        </w:rPr>
        <w:t>Cure Period</w:t>
      </w:r>
      <w:r>
        <w:rPr>
          <w:rFonts w:ascii="Times New Roman" w:cs="Times New Roman" w:eastAsia="Times New Roman" w:hAnsi="Times New Roman"/>
          <w:sz w:val="21"/>
          <w:szCs w:val="21"/>
          <w:color w:val="auto"/>
        </w:rPr>
        <w:t>”) of the Eligible Employee’s knowledge of the occurrence of an event or circumstance set forth in clauses (i) through (vi) below specifying in reasonable detail such occurrence:</w:t>
      </w:r>
    </w:p>
    <w:p>
      <w:pPr>
        <w:spacing w:after="0" w:line="168" w:lineRule="exact"/>
        <w:rPr>
          <w:rFonts w:ascii="Times New Roman" w:cs="Times New Roman" w:eastAsia="Times New Roman" w:hAnsi="Times New Roman"/>
          <w:sz w:val="21"/>
          <w:szCs w:val="21"/>
          <w:color w:val="auto"/>
        </w:rPr>
      </w:pPr>
    </w:p>
    <w:p>
      <w:pPr>
        <w:jc w:val="both"/>
        <w:ind w:firstLine="1952"/>
        <w:spacing w:after="0" w:line="252" w:lineRule="auto"/>
        <w:tabs>
          <w:tab w:leader="none" w:pos="258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the Eligible Employee of any duties materially inconsistent in any respect with the Eligible Employee’s position (including status, offices, titles and reporting requirements), authority, duties or responsibilities, or any other material diminution in such position, authority, duties or responsibilities (whether or not occurring solely as a result of the Company’s ceasing to be a publicly traded entity);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49" w:name="page50"/>
    <w:bookmarkEnd w:id="49"/>
    <w:p>
      <w:pPr>
        <w:ind w:firstLine="1952"/>
        <w:spacing w:after="0" w:line="271" w:lineRule="auto"/>
        <w:tabs>
          <w:tab w:leader="none" w:pos="258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Eligible Employee’s principal office location to a location further away from the Eligible Employee’s home which is more than 30 miles from the Eligible Employee’s current principal office;</w:t>
      </w:r>
    </w:p>
    <w:p>
      <w:pPr>
        <w:spacing w:after="0" w:line="157" w:lineRule="exact"/>
        <w:rPr>
          <w:rFonts w:ascii="Times New Roman" w:cs="Times New Roman" w:eastAsia="Times New Roman" w:hAnsi="Times New Roman"/>
          <w:sz w:val="22"/>
          <w:szCs w:val="22"/>
          <w:color w:val="auto"/>
        </w:rPr>
      </w:pPr>
    </w:p>
    <w:p>
      <w:pPr>
        <w:ind w:firstLine="1952"/>
        <w:spacing w:after="0" w:line="284" w:lineRule="auto"/>
        <w:tabs>
          <w:tab w:leader="none" w:pos="259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benefits in connection with across the board reductions or modifications affecting similarly situated persons of comparable rank in the Employer or a combined organization shall not constitute Good Reason;</w:t>
      </w:r>
    </w:p>
    <w:p>
      <w:pPr>
        <w:spacing w:after="0" w:line="143" w:lineRule="exact"/>
        <w:rPr>
          <w:rFonts w:ascii="Times New Roman" w:cs="Times New Roman" w:eastAsia="Times New Roman" w:hAnsi="Times New Roman"/>
          <w:sz w:val="22"/>
          <w:szCs w:val="22"/>
          <w:color w:val="auto"/>
        </w:rPr>
      </w:pPr>
    </w:p>
    <w:p>
      <w:pPr>
        <w:jc w:val="both"/>
        <w:ind w:right="20" w:firstLine="1952"/>
        <w:spacing w:after="0" w:line="257" w:lineRule="auto"/>
        <w:tabs>
          <w:tab w:leader="none" w:pos="2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or more material reductions (individually or in the aggregate) in the Eligible Employee’s Base Salary, Target Bonus and/or the formula for determining the amount of cash severance for which the Eligible Employee is eligible under this Plan;</w:t>
      </w:r>
    </w:p>
    <w:p>
      <w:pPr>
        <w:spacing w:after="0" w:line="17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breach by the Employer of the Eligible Employee’s service agreement (if one exists);</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07" w:lineRule="exact"/>
        <w:rPr>
          <w:rFonts w:ascii="Times New Roman" w:cs="Times New Roman" w:eastAsia="Times New Roman" w:hAnsi="Times New Roman"/>
          <w:sz w:val="21"/>
          <w:szCs w:val="21"/>
          <w:color w:val="auto"/>
        </w:rPr>
      </w:pPr>
    </w:p>
    <w:p>
      <w:pPr>
        <w:jc w:val="both"/>
        <w:ind w:firstLine="1952"/>
        <w:spacing w:after="0" w:line="249" w:lineRule="auto"/>
        <w:tabs>
          <w:tab w:leader="none" w:pos="2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in the event of a Change in Control, the taking of any action following the Change in Control by the Employer to eliminate long-term incentive compensation or benefit plans in which the Eligible Employee participated in or was eligible to participate in immediately prior to such Change in Control without providing substitutes therefor, to materially reduce benefits thereunder or to substantially diminish other fringe benefits;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neither a surviving entity nor its parent following a Change in Control is a publicly-held company, the failure to provide stock-based incentive compensation or benefits shall not be deemed Good Reason if compensation or benefits of comparable value, using a recognized valuation methodology, are substituted therefor; and provided further that a reduction or elimination in the aggregate of not more than 10% in aggregate.</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the event that the Employer fails to remedy the condition constituting Good Reason during the applicable Cure Period, the Eligible Employee’s “termination of employment” must occur, if at all, within 120 days of the end of the Cure Period; provided, however, if an event giving rise to a claim of Good Reason in connection with a Change in Control first occurs within 120 days prior to the last day of the Change in Control Period, the Eligible Employee’s termination of employment must occur not later than the last day of the Change in Control Period. Accordingly, notwithstanding anything to the contrary herein, the Eligible Employee may resign for Good Reason prior to the expiration of the 30-day notice and/or applicable Cure Period if an event giving rise to a claim of Good Reason in connection with a Change in Control first occurs within 120 days prior to the last day of the Change in Control Period.</w:t>
      </w:r>
    </w:p>
    <w:p>
      <w:pPr>
        <w:spacing w:after="0" w:line="187" w:lineRule="exact"/>
        <w:rPr>
          <w:sz w:val="20"/>
          <w:szCs w:val="20"/>
          <w:color w:val="auto"/>
        </w:rPr>
      </w:pPr>
    </w:p>
    <w:p>
      <w:pPr>
        <w:ind w:firstLine="1304"/>
        <w:spacing w:after="0" w:line="271"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Administrator</w:t>
      </w:r>
      <w:r>
        <w:rPr>
          <w:rFonts w:ascii="Times New Roman" w:cs="Times New Roman" w:eastAsia="Times New Roman" w:hAnsi="Times New Roman"/>
          <w:sz w:val="22"/>
          <w:szCs w:val="22"/>
          <w:color w:val="auto"/>
        </w:rPr>
        <w:t>” means the Sponsoring Employer or such individuals or committee as appointed by the Sponsoring Employer. As of the Effective Date, the Plan Administrator is the Compensation Committee of the Board.</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means a pro-rated annual incentive bonus otherwise payable under the Company’s applicable annual incentive bonus plan pursuant to which the Eligible Employee was eligible to earn a bonus for the year of termination, determined by multiplying the Eligible Employee’s Target Bonus by a fraction, the numerator of which is the number of days the Eligible Employee is employed in the year of termination and the denominator of which is 365.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50" w:name="page51"/>
    <w:bookmarkEnd w:id="50"/>
    <w:p>
      <w:pPr>
        <w:jc w:val="both"/>
        <w:ind w:firstLine="1304"/>
        <w:spacing w:after="0" w:line="257"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Termination</w:t>
      </w:r>
      <w:r>
        <w:rPr>
          <w:rFonts w:ascii="Times New Roman" w:cs="Times New Roman" w:eastAsia="Times New Roman" w:hAnsi="Times New Roman"/>
          <w:sz w:val="22"/>
          <w:szCs w:val="22"/>
          <w:color w:val="auto"/>
        </w:rPr>
        <w:t>” means (i) any termination of employment of an Eligible Employee by the Employer (other than for Cause or because of the Eligible Employee’s death or Disability), and (ii) any termination of employment by an Eligible Employee for Good Reason.</w:t>
      </w:r>
    </w:p>
    <w:p>
      <w:pPr>
        <w:spacing w:after="0" w:line="18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Sponsoring Employer</w:t>
      </w:r>
      <w:r>
        <w:rPr>
          <w:rFonts w:ascii="Times New Roman" w:cs="Times New Roman" w:eastAsia="Times New Roman" w:hAnsi="Times New Roman"/>
          <w:sz w:val="22"/>
          <w:szCs w:val="22"/>
          <w:color w:val="auto"/>
        </w:rPr>
        <w:t>” means the Company.</w:t>
      </w:r>
    </w:p>
    <w:p>
      <w:pPr>
        <w:spacing w:after="0" w:line="219" w:lineRule="exact"/>
        <w:rPr>
          <w:rFonts w:ascii="Times New Roman" w:cs="Times New Roman" w:eastAsia="Times New Roman" w:hAnsi="Times New Roman"/>
          <w:sz w:val="22"/>
          <w:szCs w:val="22"/>
          <w:color w:val="auto"/>
        </w:rPr>
      </w:pPr>
    </w:p>
    <w:p>
      <w:pPr>
        <w:ind w:firstLine="1304"/>
        <w:spacing w:after="0" w:line="295" w:lineRule="auto"/>
        <w:tabs>
          <w:tab w:leader="none" w:pos="193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direct or indirect subsidiary of the Company or The Macerich Partnership, L.P., or, from and after the Change in Control, any other subsidiaries of the successor to the Company or The Macerich Partnership, L.P.</w:t>
      </w:r>
    </w:p>
    <w:p>
      <w:pPr>
        <w:spacing w:after="0" w:line="13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an Eligible Employee’s target annual incentive bonus that the Eligible Employee was eligible to earn under the Company’s applicable annual incentive bonus plan for the year of termination (or the immediately prior year, if such a target annual incentive bonus has not been determined for the year of termination).</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Tier 1 Executive</w:t>
      </w:r>
      <w:r>
        <w:rPr>
          <w:rFonts w:ascii="Times New Roman" w:cs="Times New Roman" w:eastAsia="Times New Roman" w:hAnsi="Times New Roman"/>
          <w:sz w:val="22"/>
          <w:szCs w:val="22"/>
          <w:color w:val="auto"/>
        </w:rPr>
        <w:t>” means an employee of the Employer with the title of Chief Executive Officer.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Tier 2 Executive</w:t>
      </w:r>
      <w:r>
        <w:rPr>
          <w:rFonts w:ascii="Times New Roman" w:cs="Times New Roman" w:eastAsia="Times New Roman" w:hAnsi="Times New Roman"/>
          <w:sz w:val="22"/>
          <w:szCs w:val="22"/>
          <w:color w:val="auto"/>
        </w:rPr>
        <w:t>” means an employee of the Employer with the title of President, or Senior Executive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Vice President.</w:t>
      </w:r>
    </w:p>
    <w:p>
      <w:pPr>
        <w:spacing w:after="0" w:line="19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Tier 3 Executive</w:t>
      </w:r>
      <w:r>
        <w:rPr>
          <w:rFonts w:ascii="Times New Roman" w:cs="Times New Roman" w:eastAsia="Times New Roman" w:hAnsi="Times New Roman"/>
          <w:sz w:val="22"/>
          <w:szCs w:val="22"/>
          <w:color w:val="auto"/>
        </w:rPr>
        <w:t>” means an employee of the Employer with the title of Executive Vice President.</w:t>
      </w:r>
    </w:p>
    <w:p>
      <w:pPr>
        <w:spacing w:after="0" w:line="21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ELIGIBILITY</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Plan Administrator shall determine the eligibility of each Eligible Employee for participation in this Plan based upon any information to which it has access and such other information furnished by the Eligible Employee. The determination shall be conclusive and binding upon all persons. In determining eligibility for participation, the Plan Administrator shall make such determination in accordance with ERISA and this Plan, including Section 11(c) hereof. For the avoidance of doubt, an Eligible Employee holding more than one title shall be eligible for benefits at the highest tier of benefits, but shall not be eligible for benefits at more than one tier.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TERMINATION BENEFITS GENERALLY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an Eligible Employee’s employment with the Company is terminated for any reason, the Company shall pay or provide to the Eligible Employee the Accrued Obligations, within the time required by law but in no event more than sixty (60) days after the Date of Termination.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TERMINATION NOT IN CONNECTION WITH A CHANGE IN CONTROL</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In the event a Qualified Termination occurs at any time other than during the Change in Control Period, with respect to such Eligible Employee, in addition to the Accrued Obligations, subject to the Eligible Employee’s execution and non-revocation of a Release Agreement, substantially in the form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within the time period set forth in the Release Agreement but in no event more than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sixty (60) days after the Date of Termination, and subject to the Eligible Employee complying with the Release Agreement,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shall:</w:t>
      </w:r>
    </w:p>
    <w:p>
      <w:pPr>
        <w:spacing w:after="0" w:line="196" w:lineRule="exact"/>
        <w:rPr>
          <w:sz w:val="20"/>
          <w:szCs w:val="20"/>
          <w:color w:val="auto"/>
        </w:rPr>
      </w:pPr>
    </w:p>
    <w:p>
      <w:pPr>
        <w:jc w:val="both"/>
        <w:ind w:firstLine="1304"/>
        <w:spacing w:after="0" w:line="263"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the Eligible Employee an amount equal to the sum of (i) the Eligible Employee’s Base Salary and (ii) Eligible Employee’s Bonus, times a multiple equal to 2 for a Tier 1 Executive, 1.5 for a Tier 2 Executive, and 1 for a Tier 3 Executive,</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the Eligible Employee and amount equal to the Pro-Rata Bonus;</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Eligible Employee was participating in the Company’s group health plan immediately prior to the Date of Termination and timely elects COBRA health continuation, then the Company shall pay to the Eligible Employee (i) the total amount of the COBRA continuation (medical, vision and dental) monthly premium rate that would otherwise be payable by the Eligible Employee for such COBRA continuation for the Eligible Employee and any eligible dependents, as applicable, based on the premium rate as of the Date of Termination, multiplied by (ii) twenty-four (24) for the Tier 1 Executive, eighteen (18) for the Tier 2 Executive, and twelve (12) for a Tier 3 Executive ; and</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on behalf of the Eligible Employee, for the highest level of outplacement benefits pursuant to the Company’s outplacement services plan for senior executives in effect immediately prior to the Date of Termination, for a period of 12 months following the Date of Termination.</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amounts payable under Sections 5(a), (b) and (c) shall be paid out in a lump sum within sixty (60) days after the Date of Termination; provided, however, that if the 60-day period begins in one calendar year and ends in a second calendar year, such payments, to the extent they qualify as “non-qualified deferred compensation” within the meaning of Section 409A of the Code, shall, begin to be paid in the second calendar year no later than the last day of such 60-day period (except as otherwise required to be further delayed pursuant to Section 19(a)); provided further, that the initial payment shall include a catch-up payment to cover amounts retroactive to the day immediately following the Date of Termination.</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treatment of any outstanding and unvested equity awards (the “</w:t>
      </w:r>
      <w:r>
        <w:rPr>
          <w:rFonts w:ascii="Times New Roman" w:cs="Times New Roman" w:eastAsia="Times New Roman" w:hAnsi="Times New Roman"/>
          <w:sz w:val="22"/>
          <w:szCs w:val="22"/>
          <w:u w:val="single" w:color="auto"/>
          <w:color w:val="auto"/>
        </w:rPr>
        <w:t>Unvested Equity Awards</w:t>
      </w:r>
      <w:r>
        <w:rPr>
          <w:rFonts w:ascii="Times New Roman" w:cs="Times New Roman" w:eastAsia="Times New Roman" w:hAnsi="Times New Roman"/>
          <w:sz w:val="22"/>
          <w:szCs w:val="22"/>
          <w:color w:val="auto"/>
        </w:rPr>
        <w:t>”) held by the Eligible Employee on the Date of Termination under this Section 5 shall be governed by the terms of the applicable Long-Term Incentive Plan award agreement between the Company and the Eligible Employee; provided, however, that if the Date of Termination for any reason other than for Cause for any Tier 1, Tier 2 or Tier 3 Executive occurs during the twenty-four month period following March 1, 2024 then, notwithstanding anything to the contrary in the appliable Long-Term Incentive Plan award agreement or any other applicable option or other stock-based award agreement, the Company shall cause 100% of the Unvested Equity Awards subject to time-based vesting conditions to immediately become fully vested, exercisable or nonforfeitable as of the Date of Termination.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TERMINATION IN CONNECTION WITH A CHANGE IN CONTROL</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a Qualified Termination occurs within the Change in Control Period, then with respect to such Eligible Employee, in addition to the Accrued Obligations, subject to the Eligible Employee’s execution and non-revocation of the Release Agreement within the time period set forth in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the Release Agreement, but in no event more than sixty (60) days after the Date of Termination, the Company shall:</w:t>
      </w:r>
    </w:p>
    <w:p>
      <w:pPr>
        <w:spacing w:after="0" w:line="220" w:lineRule="exact"/>
        <w:rPr>
          <w:sz w:val="20"/>
          <w:szCs w:val="20"/>
          <w:color w:val="auto"/>
        </w:rPr>
      </w:pPr>
    </w:p>
    <w:p>
      <w:pPr>
        <w:ind w:firstLine="1304"/>
        <w:spacing w:after="0" w:line="271"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the Eligible Employee an amount equal to three (3) multiplied by the sum of (i) the Eligible Employee’s Base Salary, and (ii) the Eligible Employee’s Bonus;</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the Eligible Employee an amount equal to the Pro-Rata Bonus;</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the Eligible Employee an amount equal to the product of (x) the total amount of the COBRA continuation (medical, vision and dental) monthly premium rate that would otherwise be payable by the Eligible Employee for such COBRA continuation for the Eligible Employee and any eligible dependents, as applicable, based on the premium rate as of the Date of Termination and (y) 36; and</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on behalf of the Eligible Employee, for the highest level of outplacement benefits pursuant to the Company’s outplacement services plan for senior executives in effect immediately prior to the Date of Termination, for a period of 12 months following the Date of Termination.</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amounts payable under Sections 6(a), (b) and (c) shall be paid in a lump sum within sixty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begin to be paid, as applicable, in the second calendar year no later than the last day of the 60-day period (except as otherwise required to be further delayed pursuant to Section 19(a)); provided further, that if applicable, the initial payment shall include a catch-up payment to cover amounts retroactive to the day immediately following the Date of Termination. For the avoidance of doubt, the severance pay and benefits provided in this Section 6 shall apply in lieu of, and expressly supersede, the provisions of Section 5 and no Eligible Employee shall be entitled to the severance pay and benefits under both Section 5 and 6 hereof.</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herein to the contrary, the treatment of any Unvested Equity Awards held by the Eligible Employee on the Date of Termination under this Section 6 shall be governed by the terms of the applicable Long-Term Incentive Plan award agreement between the Company and the Eligible Employee.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For the avoidance of doubt, the mere occurrence of a Change in Control shall not be treated as a termination of an Eligible Employee’s employment under this Plan, nor shall the mere transfer of an Eligible Employee’s employment to and between the Employer and/or any Subsidiary be treated as a termination under this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REDUCTION OF CERTAIN BENEFITS</w:t>
      </w:r>
    </w:p>
    <w:p>
      <w:pPr>
        <w:spacing w:after="0" w:line="220" w:lineRule="exact"/>
        <w:rPr>
          <w:sz w:val="20"/>
          <w:szCs w:val="20"/>
          <w:color w:val="auto"/>
        </w:rPr>
      </w:pPr>
    </w:p>
    <w:p>
      <w:pPr>
        <w:jc w:val="both"/>
        <w:ind w:firstLine="1304"/>
        <w:spacing w:after="0" w:line="257" w:lineRule="auto"/>
        <w:tabs>
          <w:tab w:leader="none" w:pos="19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in Benefits</w:t>
      </w:r>
      <w:r>
        <w:rPr>
          <w:rFonts w:ascii="Times New Roman" w:cs="Times New Roman" w:eastAsia="Times New Roman" w:hAnsi="Times New Roman"/>
          <w:sz w:val="22"/>
          <w:szCs w:val="22"/>
          <w:color w:val="auto"/>
        </w:rPr>
        <w:t>. Anything in this Plan to the contrary notwithstanding, in the event that the receipt of all payments or distributions by the Company or the Employer in the nature of compensation to or for the Eligible Employee’s benefit, whether paid or payable pursuant to this Plan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50" w:lineRule="auto"/>
        <w:rPr>
          <w:sz w:val="20"/>
          <w:szCs w:val="20"/>
          <w:color w:val="auto"/>
        </w:rPr>
      </w:pPr>
      <w:r>
        <w:rPr>
          <w:rFonts w:ascii="Times New Roman" w:cs="Times New Roman" w:eastAsia="Times New Roman" w:hAnsi="Times New Roman"/>
          <w:sz w:val="22"/>
          <w:szCs w:val="22"/>
          <w:color w:val="auto"/>
        </w:rPr>
        <w:t>or otherwise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would subject the Eligible Employee to the excise tax under Section 4999 of the Code, the accounting firm which audited the Company prior to the corporate transaction which results in the application of such excise tax, or another nationally known accounting or employee benefits consulting firm selected by the Company prior to such corporate transaction, in consultation with the Tier 1 Executive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xml:space="preserve">”), shall determine whether to reduce any of the Payments to the Reduced Amount (as defined below). The Payments shall be reduced to the Reduced Amount </w:t>
      </w:r>
      <w:r>
        <w:rPr>
          <w:rFonts w:ascii="Times New Roman" w:cs="Times New Roman" w:eastAsia="Times New Roman" w:hAnsi="Times New Roman"/>
          <w:sz w:val="22"/>
          <w:szCs w:val="22"/>
          <w:i w:val="1"/>
          <w:iCs w:val="1"/>
          <w:color w:val="auto"/>
        </w:rPr>
        <w:t>only if</w:t>
      </w:r>
      <w:r>
        <w:rPr>
          <w:rFonts w:ascii="Times New Roman" w:cs="Times New Roman" w:eastAsia="Times New Roman" w:hAnsi="Times New Roman"/>
          <w:sz w:val="22"/>
          <w:szCs w:val="22"/>
          <w:color w:val="auto"/>
        </w:rPr>
        <w:t xml:space="preserve"> the Accounting Firm determines that the Eligible Employee would have a greater Net After-Tax Receipt (as defined below) of aggregate Payments if the Eligible Employee’s Payments were reduced to the Reduced Amount. If such a determination is not made by the Accounting Firm, the Eligible Employee shall receive all Payments to which Eligible Employee is entitled to receive.</w:t>
      </w:r>
    </w:p>
    <w:p>
      <w:pPr>
        <w:spacing w:after="0" w:line="180" w:lineRule="exact"/>
        <w:rPr>
          <w:sz w:val="20"/>
          <w:szCs w:val="20"/>
          <w:color w:val="auto"/>
        </w:rPr>
      </w:pPr>
    </w:p>
    <w:p>
      <w:pPr>
        <w:jc w:val="both"/>
        <w:ind w:firstLine="1304"/>
        <w:spacing w:after="0" w:line="248"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Order of Reduction</w:t>
      </w:r>
      <w:r>
        <w:rPr>
          <w:rFonts w:ascii="Times New Roman" w:cs="Times New Roman" w:eastAsia="Times New Roman" w:hAnsi="Times New Roman"/>
          <w:sz w:val="22"/>
          <w:szCs w:val="22"/>
          <w:color w:val="auto"/>
        </w:rPr>
        <w:t xml:space="preserve">. If the Accounting Firm determines that aggregate Payments should be reduced to the Reduced Amount, the Company shall promptly give the Eligible Employee notice to that effect and a copy of the detailed calculation thereof. All determinations made by the Accounting Firm under this Section 7 shall be made as soon as reasonably practicable and in no event later than 60 days following the date of termination of employment or such earlier date as requested by the Company and the Eligible Employee. All fees and expenses of the Accounting Firm shall be borne solely by the Company. Any determination by the Accounting Firm shall be binding on the Company, its Subsidiaries and the Eligible Employee. For purposes of reducing the Payments to the Reduced Amount, the Payments shall be reduced in the following order, in each case, in reverse chronological order beginning with the Payments that are to be paid or become vested the furthest in time from consummation of the Change in Control: (1) cash payments not subject to Section 409A of the Code; (2) cash payments subject to Section 409A of the Code; (3) equity-based payments and acceleration; and (4) non-cash forms of benefits;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amounts or payments that are not subject to calculation under Treas. Reg. § 1.280G-1, Q&amp;A-24(b) or (c) shall be reduced before any amounts that are subject to calculation under Treas. Reg. § 1.280G-1, Q&amp;A-24(b) or (c).</w:t>
      </w:r>
    </w:p>
    <w:p>
      <w:pPr>
        <w:spacing w:after="0" w:line="18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Underpayment or Overpayment</w:t>
      </w:r>
      <w:r>
        <w:rPr>
          <w:rFonts w:ascii="Times New Roman" w:cs="Times New Roman" w:eastAsia="Times New Roman" w:hAnsi="Times New Roman"/>
          <w:sz w:val="22"/>
          <w:szCs w:val="22"/>
          <w:color w:val="auto"/>
        </w:rPr>
        <w:t>. As a result of the uncertainty in the application of Section 4999 of the Code at the time of the initial determination by the Accounting Firm hereunder, it is possible that amounts will have been paid or distributed by the Company to or for the benefit of the Eligible Employee pursuant to this Plan which should not have been so paid or distributed (the “</w:t>
      </w:r>
      <w:r>
        <w:rPr>
          <w:rFonts w:ascii="Times New Roman" w:cs="Times New Roman" w:eastAsia="Times New Roman" w:hAnsi="Times New Roman"/>
          <w:sz w:val="22"/>
          <w:szCs w:val="22"/>
          <w:u w:val="single" w:color="auto"/>
          <w:color w:val="auto"/>
        </w:rPr>
        <w:t>Overpayment</w:t>
      </w:r>
      <w:r>
        <w:rPr>
          <w:rFonts w:ascii="Times New Roman" w:cs="Times New Roman" w:eastAsia="Times New Roman" w:hAnsi="Times New Roman"/>
          <w:sz w:val="22"/>
          <w:szCs w:val="22"/>
          <w:color w:val="auto"/>
        </w:rPr>
        <w:t>”) or that additional amounts which will have not been paid or distributed by the Company to or for the benefit of the Eligible Employee pursuant to this Plan could have been so paid or distributed (the “</w:t>
      </w:r>
      <w:r>
        <w:rPr>
          <w:rFonts w:ascii="Times New Roman" w:cs="Times New Roman" w:eastAsia="Times New Roman" w:hAnsi="Times New Roman"/>
          <w:sz w:val="22"/>
          <w:szCs w:val="22"/>
          <w:u w:val="single" w:color="auto"/>
          <w:color w:val="auto"/>
        </w:rPr>
        <w:t>Underpayment</w:t>
      </w:r>
      <w:r>
        <w:rPr>
          <w:rFonts w:ascii="Times New Roman" w:cs="Times New Roman" w:eastAsia="Times New Roman" w:hAnsi="Times New Roman"/>
          <w:sz w:val="22"/>
          <w:szCs w:val="22"/>
          <w:color w:val="auto"/>
        </w:rPr>
        <w:t xml:space="preserve">”), in each case, consistent with the calculation of the Reduced Amount hereunder. In the event that the Accounting Firm, based upon the assertion of a deficiency by the Internal Revenue Service against either the Company or a Subsidiary or the Eligible Employee which the Accounting Firm believes has a high probability of success, determines that an Overpayment has been made, the Eligible Employee shall pay any such Overpayment to the Company together with interest at the applicable federal rate provided for in Section 7872(f)(2) of the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amount shall be payable by the Eligible Employee to the Company if and to the extent such payment would not either reduce the amount on which the Eligible Employee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60 days following the date on which the Underpayment is determined) by the Company to or for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2" w:right="339" w:bottom="1440" w:gutter="0" w:footer="0" w:header="0"/>
        </w:sectPr>
      </w:pPr>
    </w:p>
    <w:bookmarkStart w:id="54" w:name="page55"/>
    <w:bookmarkEnd w:id="54"/>
    <w:p>
      <w:pPr>
        <w:spacing w:after="0" w:line="271" w:lineRule="auto"/>
        <w:rPr>
          <w:sz w:val="20"/>
          <w:szCs w:val="20"/>
          <w:color w:val="auto"/>
        </w:rPr>
      </w:pPr>
      <w:r>
        <w:rPr>
          <w:rFonts w:ascii="Times New Roman" w:cs="Times New Roman" w:eastAsia="Times New Roman" w:hAnsi="Times New Roman"/>
          <w:sz w:val="22"/>
          <w:szCs w:val="22"/>
          <w:color w:val="auto"/>
        </w:rPr>
        <w:t>benefit of the Eligible Employee together with interest at the applicable federal rate provided for in Section 7872(f)(2) of the Code.</w:t>
      </w:r>
    </w:p>
    <w:p>
      <w:pPr>
        <w:spacing w:after="0" w:line="158" w:lineRule="exact"/>
        <w:rPr>
          <w:sz w:val="20"/>
          <w:szCs w:val="20"/>
          <w:color w:val="auto"/>
        </w:rPr>
      </w:pPr>
    </w:p>
    <w:p>
      <w:pPr>
        <w:ind w:left="1940" w:hanging="636"/>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Reduced Amount and After-Tax Receipt</w:t>
      </w:r>
      <w:r>
        <w:rPr>
          <w:rFonts w:ascii="Times New Roman" w:cs="Times New Roman" w:eastAsia="Times New Roman" w:hAnsi="Times New Roman"/>
          <w:sz w:val="22"/>
          <w:szCs w:val="22"/>
          <w:color w:val="auto"/>
        </w:rPr>
        <w:t>. For purposes hereof, the following terms have the meanings set</w:t>
      </w:r>
    </w:p>
    <w:p>
      <w:pPr>
        <w:spacing w:after="0" w:line="29" w:lineRule="exact"/>
        <w:rPr>
          <w:rFonts w:ascii="Times New Roman" w:cs="Times New Roman" w:eastAsia="Times New Roman" w:hAnsi="Times New Roman"/>
          <w:sz w:val="22"/>
          <w:szCs w:val="22"/>
          <w:color w:val="auto"/>
        </w:rPr>
      </w:pPr>
    </w:p>
    <w:p>
      <w:pPr>
        <w:jc w:val="both"/>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forth below: (i) “</w:t>
      </w:r>
      <w:r>
        <w:rPr>
          <w:rFonts w:ascii="Times New Roman" w:cs="Times New Roman" w:eastAsia="Times New Roman" w:hAnsi="Times New Roman"/>
          <w:sz w:val="21"/>
          <w:szCs w:val="21"/>
          <w:u w:val="single" w:color="auto"/>
          <w:color w:val="auto"/>
        </w:rPr>
        <w:t>Reduced Amount</w:t>
      </w:r>
      <w:r>
        <w:rPr>
          <w:rFonts w:ascii="Times New Roman" w:cs="Times New Roman" w:eastAsia="Times New Roman" w:hAnsi="Times New Roman"/>
          <w:sz w:val="21"/>
          <w:szCs w:val="21"/>
          <w:color w:val="auto"/>
        </w:rPr>
        <w:t>” shall mean the greatest amount of Payments that can be paid that would not result in the imposition of the excise tax under Section 4999 of the Code if the Accounting Firm determines to reduce Payments pursuant to this Section 12 and (ii) “</w:t>
      </w:r>
      <w:r>
        <w:rPr>
          <w:rFonts w:ascii="Times New Roman" w:cs="Times New Roman" w:eastAsia="Times New Roman" w:hAnsi="Times New Roman"/>
          <w:sz w:val="21"/>
          <w:szCs w:val="21"/>
          <w:u w:val="single" w:color="auto"/>
          <w:color w:val="auto"/>
        </w:rPr>
        <w:t>Net After-Tax Receipt</w:t>
      </w:r>
      <w:r>
        <w:rPr>
          <w:rFonts w:ascii="Times New Roman" w:cs="Times New Roman" w:eastAsia="Times New Roman" w:hAnsi="Times New Roman"/>
          <w:sz w:val="21"/>
          <w:szCs w:val="21"/>
          <w:color w:val="auto"/>
        </w:rPr>
        <w:t>” shall mean the present value (as determined in accordance with Sections 280G(b)</w:t>
      </w:r>
    </w:p>
    <w:p>
      <w:pPr>
        <w:spacing w:after="0" w:line="2" w:lineRule="exact"/>
        <w:rPr>
          <w:rFonts w:ascii="Times New Roman" w:cs="Times New Roman" w:eastAsia="Times New Roman" w:hAnsi="Times New Roman"/>
          <w:sz w:val="22"/>
          <w:szCs w:val="22"/>
          <w:color w:val="auto"/>
        </w:rPr>
      </w:pPr>
    </w:p>
    <w:p>
      <w:pPr>
        <w:jc w:val="both"/>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(2)(A)(ii) and 280G(d)(4) of the Code) of a Payment net of all taxes imposed on the Eligible Employee with respect thereto under Sections 1 and 4999 of the Code and under applicable state and local laws, determined by applying the highest marginal rate under Section 1 of the Code and under state and local laws which applied to the Eligible Employee’s taxable income for the immediately preceding taxable year, or such other rate(s) as the Eligible Employee certifies, in the Eligible Employee’s sole discretion, as likely to apply to her/him in the relevant tax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WITHHOLDING</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Notwithstanding anything in this Plan to the contrary, all payments required to be made by the Employer hereunder to an Eligible Employee or her/his estate or beneficiaries shall be subject to the withholding of such amounts relating to taxes as the Employer reasonably may determine it should withhold pursuant to any applicable law or regulation. In lieu of withholding such amounts, in whole or in part, the Employer may, in its sole discretion, accept other provisions for the payment of taxes and any withholdings as required by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Employer is satisfied that all requirements of law affecting its responsibilities to withhold compensation have been satisfied.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NO DUTY TO MITIGATE</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 Eligible Employee’s payments received hereunder shall be considered severance pay in consideration of past service, and entitlement thereto shall not be governed by any duty to mitigate damages by seeking further employment. In addition, no payments received hereunder shall be offset by any payments or benefits an Eligible Employee may receive from any future employer.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AMENDMENT, SUSPENSION OR TERMINATION</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Prior to a Change in Control, this Plan may be amended, suspended or terminated at any time by the Plan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amendment, suspension or termination that reduces benefits, changes the definition of Eligible Employees or otherwise adversely impairs an Eligible Employee’s ability to receive any of the severance payments or benefits that could be provided under this Plan will not be effective until 12 months after notice of any such change is provided to the Eligible Employees. No such amendment, suspension or termination will be effective if a Change in Control occurs during the 12-month notice period and no such amendment, suspension or termination may occur after a Change in Control. This Plan may otherwise be amended, suspended or terminated by the Plan Administrator following the expiration of the Change in Control Period and the satisfaction of all obligations the Company may have to any Eligible Employee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ADMINISTRATION</w:t>
      </w:r>
    </w:p>
    <w:p>
      <w:pPr>
        <w:spacing w:after="0" w:line="220" w:lineRule="exact"/>
        <w:rPr>
          <w:sz w:val="20"/>
          <w:szCs w:val="20"/>
          <w:color w:val="auto"/>
        </w:rPr>
      </w:pPr>
    </w:p>
    <w:p>
      <w:pPr>
        <w:jc w:val="both"/>
        <w:ind w:firstLine="1304"/>
        <w:spacing w:after="0" w:line="251"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and any representative whom it chooses to assist it to carry out its responsibilities under the Plan shall have the maximum discretionary authority permitted by law to interpret, construe, and administer the Plan, to make determinations regarding Plan participation, enrollment and eligibility for benefits, to evaluate and determine the validity of benefit claims, and to resolve any and all claims and disputes regarding the rights and entitlements of individuals to participate in the Plan and to receive benefits and payments pursuant to the Plan. The decisions of the Plan Administrator and its representatives shall be given the maximum deference permitted by law.</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shall have such powers as are necessary for the proper handling of claims for benefits under the Plan, including, but not limited to, the following:</w:t>
      </w:r>
    </w:p>
    <w:p>
      <w:pPr>
        <w:spacing w:after="0" w:line="143"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procedures to be followed by Eligible Employees in filing applications for benefits and for furnishing evidence necessary to establish their rights to benefits under the Plan;</w:t>
      </w:r>
    </w:p>
    <w:p>
      <w:pPr>
        <w:spacing w:after="0" w:line="157" w:lineRule="exact"/>
        <w:rPr>
          <w:rFonts w:ascii="Times New Roman" w:cs="Times New Roman" w:eastAsia="Times New Roman" w:hAnsi="Times New Roman"/>
          <w:sz w:val="22"/>
          <w:szCs w:val="22"/>
          <w:color w:val="auto"/>
        </w:rPr>
      </w:pPr>
    </w:p>
    <w:p>
      <w:pPr>
        <w:jc w:val="both"/>
        <w:ind w:right="20" w:firstLine="1952"/>
        <w:spacing w:after="0" w:line="257" w:lineRule="auto"/>
        <w:tabs>
          <w:tab w:leader="none" w:pos="258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find facts as to the rights of any Eligible Employee applying for or receiving benefits under the Plan and to notify any such Employee dissatisfied with any such finding of his right to appeal as set forth in Section 12(b). Final determination of benefits covered under this Plan shall be made by the Plan Administrator;</w:t>
      </w:r>
    </w:p>
    <w:p>
      <w:pPr>
        <w:spacing w:after="0" w:line="18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benefit payments directly to Eligible Employees entitled to benefits under the Plan or to</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their authorized assignees;</w:t>
      </w:r>
    </w:p>
    <w:p>
      <w:pPr>
        <w:spacing w:after="0" w:line="195"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obtain from the Eligible Employee such information as shall be necessary for the proper administration of claims under the Plan;</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keep records regarding the administration of claims under the Plan; and</w:t>
      </w:r>
    </w:p>
    <w:p>
      <w:pPr>
        <w:spacing w:after="0" w:line="233"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evaluate, analyze and prepare statistical and other data with respect to the administration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Plan.</w:t>
      </w:r>
    </w:p>
    <w:p>
      <w:pPr>
        <w:spacing w:after="0" w:line="195" w:lineRule="exact"/>
        <w:rPr>
          <w:rFonts w:ascii="Times New Roman" w:cs="Times New Roman" w:eastAsia="Times New Roman" w:hAnsi="Times New Roman"/>
          <w:sz w:val="21"/>
          <w:szCs w:val="21"/>
          <w:color w:val="auto"/>
        </w:rPr>
      </w:pPr>
    </w:p>
    <w:p>
      <w:pPr>
        <w:jc w:val="both"/>
        <w:ind w:firstLine="1304"/>
        <w:spacing w:after="0" w:line="256"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Sponsoring Employer shall have the sole and absolute discretion to determine the termination dates for all Eligible Employees, and to determine whether an Eligible Employee suffered a Qualifying Termination. The Sponsoring Employer’s exercise of its discretion pursuant to this Section 11(c) shall be a matter of business judgment and not the subject of fiduciary responsibility.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CLAIMS PROCEDURE AND PAYMENT OF BENEFITS</w:t>
      </w:r>
    </w:p>
    <w:p>
      <w:pPr>
        <w:spacing w:after="0" w:line="220" w:lineRule="exact"/>
        <w:rPr>
          <w:sz w:val="20"/>
          <w:szCs w:val="20"/>
          <w:color w:val="auto"/>
        </w:rPr>
      </w:pPr>
    </w:p>
    <w:p>
      <w:pPr>
        <w:ind w:left="1940" w:hanging="63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for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shall have the meaning described below for purposes of Sections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12(a) through 12(d):</w:t>
      </w:r>
    </w:p>
    <w:p>
      <w:pPr>
        <w:spacing w:after="0" w:line="195" w:lineRule="exact"/>
        <w:rPr>
          <w:rFonts w:ascii="Times New Roman" w:cs="Times New Roman" w:eastAsia="Times New Roman" w:hAnsi="Times New Roman"/>
          <w:sz w:val="22"/>
          <w:szCs w:val="22"/>
          <w:color w:val="auto"/>
        </w:rPr>
      </w:pPr>
    </w:p>
    <w:p>
      <w:pPr>
        <w:ind w:left="660" w:firstLine="1940"/>
        <w:spacing w:after="0" w:line="284" w:lineRule="auto"/>
        <w:tabs>
          <w:tab w:leader="none" w:pos="3241"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“Adverse Benefit Determination” means any of the following: a denial, reduction, or termination of, or a failure to provide or make payment (in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2" w:right="339" w:bottom="1440" w:gutter="0" w:footer="0" w:header="0"/>
        </w:sectPr>
      </w:pPr>
    </w:p>
    <w:bookmarkStart w:id="56" w:name="page57"/>
    <w:bookmarkEnd w:id="56"/>
    <w:p>
      <w:pPr>
        <w:ind w:left="660" w:right="20"/>
        <w:spacing w:after="0" w:line="271" w:lineRule="auto"/>
        <w:rPr>
          <w:sz w:val="20"/>
          <w:szCs w:val="20"/>
          <w:color w:val="auto"/>
        </w:rPr>
      </w:pPr>
      <w:r>
        <w:rPr>
          <w:rFonts w:ascii="Times New Roman" w:cs="Times New Roman" w:eastAsia="Times New Roman" w:hAnsi="Times New Roman"/>
          <w:sz w:val="22"/>
          <w:szCs w:val="22"/>
          <w:color w:val="auto"/>
        </w:rPr>
        <w:t>whole or in part) for, a benefit, including any such denial, reduction, termination, or failure to provide or make payment that is based on a determination of an Eligible Employee’s or beneficiary’s eligibility to participate in a Plan.</w:t>
      </w:r>
    </w:p>
    <w:p>
      <w:pPr>
        <w:spacing w:after="0" w:line="158" w:lineRule="exact"/>
        <w:rPr>
          <w:sz w:val="20"/>
          <w:szCs w:val="20"/>
          <w:color w:val="auto"/>
        </w:rPr>
      </w:pPr>
    </w:p>
    <w:p>
      <w:pPr>
        <w:ind w:left="660" w:firstLine="1940"/>
        <w:spacing w:after="0" w:line="284" w:lineRule="auto"/>
        <w:tabs>
          <w:tab w:leader="none" w:pos="3243"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“Notice” or “Notification” means the delivery or furnishing of information to an individual in a manner that is reasonably calculated to ensure actual receipt by the individual.</w:t>
      </w:r>
    </w:p>
    <w:p>
      <w:pPr>
        <w:spacing w:after="0" w:line="143"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applications for benefits under the Plan shall be submitted to the Plan Administrator at such location as shall be designated by the Plan Administrator from time to time. Applications for benefits must be in writing on forms acceptable to the Plan Administrator and must be signed by the Eligible Employee. The Plan Administrator reserves the right to require the Eligible Employee to furnish such other information and documents as the Plan Administrator determines are necessary or appropriate. Each application shall be acted upon and approved or disapproved by the Plan Administrator within ninety (90) days following its receipt by the Plan Administrator.</w:t>
      </w:r>
    </w:p>
    <w:p>
      <w:pPr>
        <w:spacing w:after="0" w:line="18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shall provide a claimant with written or electronic Notification of any Adverse Benefit Determination. Any electronic Notification shall comply with the standards imposed by 29 CFR 2520.104b-l(c) (l)(i), (iii), and (iv). The Notification shall set forth, in a manner calculated to be understood by the claimant:</w:t>
      </w:r>
    </w:p>
    <w:p>
      <w:pPr>
        <w:spacing w:after="0" w:line="17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adverse determination;</w:t>
      </w:r>
    </w:p>
    <w:p>
      <w:pPr>
        <w:spacing w:after="0" w:line="23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the specific Plan provisions on which the determination is based.</w:t>
      </w:r>
    </w:p>
    <w:p>
      <w:pPr>
        <w:spacing w:after="0" w:line="219" w:lineRule="exact"/>
        <w:rPr>
          <w:rFonts w:ascii="Times New Roman" w:cs="Times New Roman" w:eastAsia="Times New Roman" w:hAnsi="Times New Roman"/>
          <w:sz w:val="22"/>
          <w:szCs w:val="22"/>
          <w:color w:val="auto"/>
        </w:rPr>
      </w:pPr>
    </w:p>
    <w:p>
      <w:pPr>
        <w:ind w:left="660" w:firstLine="1940"/>
        <w:spacing w:after="0" w:line="271" w:lineRule="auto"/>
        <w:tabs>
          <w:tab w:leader="none" w:pos="324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of why such material or information is necessary; and</w:t>
      </w:r>
    </w:p>
    <w:p>
      <w:pPr>
        <w:spacing w:after="0" w:line="157" w:lineRule="exact"/>
        <w:rPr>
          <w:rFonts w:ascii="Times New Roman" w:cs="Times New Roman" w:eastAsia="Times New Roman" w:hAnsi="Times New Roman"/>
          <w:sz w:val="22"/>
          <w:szCs w:val="22"/>
          <w:color w:val="auto"/>
        </w:rPr>
      </w:pPr>
    </w:p>
    <w:p>
      <w:pPr>
        <w:jc w:val="both"/>
        <w:ind w:left="660" w:firstLine="1940"/>
        <w:spacing w:after="0" w:line="263" w:lineRule="auto"/>
        <w:tabs>
          <w:tab w:leader="none" w:pos="3241"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Plan’s review procedures and the time limits applicable to such procedures, including a statement of the claimant’s right to bring a civil action under Section 502(a) of ERISA following an Adverse Benefit Determination on review.</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Benefit Denials</w:t>
      </w:r>
    </w:p>
    <w:p>
      <w:pPr>
        <w:spacing w:after="0" w:line="21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Appeal</w:t>
      </w:r>
      <w:r>
        <w:rPr>
          <w:rFonts w:ascii="Times New Roman" w:cs="Times New Roman" w:eastAsia="Times New Roman" w:hAnsi="Times New Roman"/>
          <w:sz w:val="22"/>
          <w:szCs w:val="22"/>
          <w:color w:val="auto"/>
        </w:rPr>
        <w:t>. A claimant shall have a reasonable opportunity to appeal an Adverse Benefit Determination to the Board and under which there will be a full and fair review of the claim and the Adverse Benefit Determination. The Board shall be identified in the Notification described in Section 12(a)(ii) and may be the Plan Administrator. Such full and fair review shall:</w:t>
      </w:r>
    </w:p>
    <w:p>
      <w:pPr>
        <w:spacing w:after="0" w:line="176" w:lineRule="exact"/>
        <w:rPr>
          <w:rFonts w:ascii="Times New Roman" w:cs="Times New Roman" w:eastAsia="Times New Roman" w:hAnsi="Times New Roman"/>
          <w:sz w:val="22"/>
          <w:szCs w:val="22"/>
          <w:color w:val="auto"/>
        </w:rPr>
      </w:pPr>
    </w:p>
    <w:p>
      <w:pPr>
        <w:ind w:left="660" w:firstLine="1940"/>
        <w:spacing w:after="0" w:line="271" w:lineRule="auto"/>
        <w:tabs>
          <w:tab w:leader="none" w:pos="3241"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claimants at least ninety (90) days following receipt of a Notification of an Adverse Benefit Determination within which to appeal the determination;</w:t>
      </w:r>
    </w:p>
    <w:p>
      <w:pPr>
        <w:spacing w:after="0" w:line="157" w:lineRule="exact"/>
        <w:rPr>
          <w:rFonts w:ascii="Times New Roman" w:cs="Times New Roman" w:eastAsia="Times New Roman" w:hAnsi="Times New Roman"/>
          <w:sz w:val="22"/>
          <w:szCs w:val="22"/>
          <w:color w:val="auto"/>
        </w:rPr>
      </w:pPr>
    </w:p>
    <w:p>
      <w:pPr>
        <w:ind w:left="660" w:right="20" w:firstLine="1940"/>
        <w:spacing w:after="0" w:line="271" w:lineRule="auto"/>
        <w:tabs>
          <w:tab w:leader="none" w:pos="3243"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claimants the opportunity to submit written comments, documents, records, and other information relating to the claim for benefits;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22" w:right="339" w:bottom="1440" w:gutter="0" w:footer="0" w:header="0"/>
        </w:sectPr>
      </w:pPr>
    </w:p>
    <w:bookmarkStart w:id="57" w:name="page58"/>
    <w:bookmarkEnd w:id="57"/>
    <w:p>
      <w:pPr>
        <w:ind w:left="660" w:firstLine="1940"/>
        <w:spacing w:after="0" w:line="271" w:lineRule="auto"/>
        <w:tabs>
          <w:tab w:leader="none" w:pos="3243"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a claimant shall be provided, upon request and free of charge, reasonable access to, and copies of, all documents, records, and other information relevant to the claimant’s claim for benefits;</w:t>
      </w:r>
    </w:p>
    <w:p>
      <w:pPr>
        <w:spacing w:after="0" w:line="157" w:lineRule="exact"/>
        <w:rPr>
          <w:rFonts w:ascii="Times New Roman" w:cs="Times New Roman" w:eastAsia="Times New Roman" w:hAnsi="Times New Roman"/>
          <w:sz w:val="22"/>
          <w:szCs w:val="22"/>
          <w:color w:val="auto"/>
        </w:rPr>
      </w:pPr>
    </w:p>
    <w:p>
      <w:pPr>
        <w:jc w:val="both"/>
        <w:ind w:left="660" w:firstLine="1940"/>
        <w:spacing w:after="0" w:line="263" w:lineRule="auto"/>
        <w:tabs>
          <w:tab w:leader="none" w:pos="3241"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a review that takes into account all comments, documents, records, and other information submitted by the claimant relating to the claim, without regard to whether such information was submitted or considered in the initial benefit determination; and</w:t>
      </w:r>
    </w:p>
    <w:p>
      <w:pPr>
        <w:spacing w:after="0" w:line="167" w:lineRule="exact"/>
        <w:rPr>
          <w:rFonts w:ascii="Times New Roman" w:cs="Times New Roman" w:eastAsia="Times New Roman" w:hAnsi="Times New Roman"/>
          <w:sz w:val="22"/>
          <w:szCs w:val="22"/>
          <w:color w:val="auto"/>
        </w:rPr>
      </w:pPr>
    </w:p>
    <w:p>
      <w:pPr>
        <w:jc w:val="both"/>
        <w:ind w:left="660" w:firstLine="1940"/>
        <w:spacing w:after="0" w:line="257" w:lineRule="auto"/>
        <w:tabs>
          <w:tab w:leader="none" w:pos="3244"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a review that does not afford deference to the initial Adverse Benefit Determination and that is conducted by an appropriate person who is neither the individual who made the Adverse Benefit Determination that is the subject of the appeal, nor the subordinate of such individual.</w:t>
      </w:r>
    </w:p>
    <w:p>
      <w:pPr>
        <w:spacing w:after="0" w:line="18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Benefit Determination on Review</w:t>
      </w:r>
      <w:r>
        <w:rPr>
          <w:rFonts w:ascii="Times New Roman" w:cs="Times New Roman" w:eastAsia="Times New Roman" w:hAnsi="Times New Roman"/>
          <w:sz w:val="22"/>
          <w:szCs w:val="22"/>
          <w:color w:val="auto"/>
        </w:rPr>
        <w:t>. The [Board] shall notify the Eligible Employee, in accordance with Section 12(b)(iv), of the Plan’s benefit determination on review within a reasonable period of time. Such Notification shall be provided not later than sixty (60) days after receipt by the Plan of the Eligible Employee’s request for review of the adverse determination.</w:t>
      </w:r>
    </w:p>
    <w:p>
      <w:pPr>
        <w:spacing w:after="0" w:line="17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9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Furnishing Documents</w:t>
      </w:r>
      <w:r>
        <w:rPr>
          <w:rFonts w:ascii="Times New Roman" w:cs="Times New Roman" w:eastAsia="Times New Roman" w:hAnsi="Times New Roman"/>
          <w:sz w:val="22"/>
          <w:szCs w:val="22"/>
          <w:color w:val="auto"/>
        </w:rPr>
        <w:t>. In the case of an Adverse Benefit Determination on review, the [Board] shall provide such access to, and copies of, documents, records, and other information described in Section 12(b)(iv) as is appropriate.</w:t>
      </w:r>
    </w:p>
    <w:p>
      <w:pPr>
        <w:spacing w:after="0" w:line="167"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Content of Notification on Review</w:t>
      </w:r>
      <w:r>
        <w:rPr>
          <w:rFonts w:ascii="Times New Roman" w:cs="Times New Roman" w:eastAsia="Times New Roman" w:hAnsi="Times New Roman"/>
          <w:sz w:val="22"/>
          <w:szCs w:val="22"/>
          <w:color w:val="auto"/>
        </w:rPr>
        <w:t>. The [Board] shall provide a claimant with written or electronic Notification of a Plan's benefit determination following an appeal described in Section 12(b)(i). Any electronic Notification shall comply with the standards imposed by 29 CFR 2520.104b-l(c)(l)(i), (iii), and (iv). In the case of an Adverse Benefit Determination on review, the Notification shall set forth, in a manner calculated to be understood by the claimant:</w:t>
      </w:r>
    </w:p>
    <w:p>
      <w:pPr>
        <w:spacing w:after="0" w:line="19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323232"/>
        </w:rPr>
        <w:t>The specific reason or reasons for the adverse determination;</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the specific Plan provisions on which the benefit determination is based;</w:t>
      </w:r>
    </w:p>
    <w:p>
      <w:pPr>
        <w:spacing w:after="0" w:line="219" w:lineRule="exact"/>
        <w:rPr>
          <w:rFonts w:ascii="Times New Roman" w:cs="Times New Roman" w:eastAsia="Times New Roman" w:hAnsi="Times New Roman"/>
          <w:sz w:val="22"/>
          <w:szCs w:val="22"/>
          <w:color w:val="auto"/>
        </w:rPr>
      </w:pPr>
    </w:p>
    <w:p>
      <w:pPr>
        <w:jc w:val="both"/>
        <w:ind w:left="660" w:firstLine="1940"/>
        <w:spacing w:after="0" w:line="257" w:lineRule="auto"/>
        <w:tabs>
          <w:tab w:leader="none" w:pos="3243"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claimant is entitled to receive, upon request and free of charge, reasonable access to, and copies of, all documents, records, and other information relevant to the claimant's claim for benefits; and</w:t>
      </w:r>
    </w:p>
    <w:p>
      <w:pPr>
        <w:spacing w:after="0" w:line="18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of the claimant’s right to bring an action under Section 502(a) of ERISA.</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Calculating Time Periods</w:t>
      </w:r>
      <w:r>
        <w:rPr>
          <w:rFonts w:ascii="Times New Roman" w:cs="Times New Roman" w:eastAsia="Times New Roman" w:hAnsi="Times New Roman"/>
          <w:sz w:val="22"/>
          <w:szCs w:val="22"/>
          <w:color w:val="auto"/>
        </w:rPr>
        <w:t>. The period of time within which a benefit determination (including a benefit determination on review) is required to be made shall begin at the time a claim (or appeal) is filed in accordance with the reasonable procedures of the Plan, without regard to whether all the information necessary to make a benefit determination accompanies the filing. In the event that a period of time is extended due to a claimant's failure to submit information necessary to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22" w:right="339" w:bottom="1440" w:gutter="0" w:footer="0" w:header="0"/>
        </w:sectPr>
      </w:pPr>
    </w:p>
    <w:bookmarkStart w:id="58" w:name="page59"/>
    <w:bookmarkEnd w:id="58"/>
    <w:p>
      <w:pPr>
        <w:ind w:right="20"/>
        <w:spacing w:after="0" w:line="271" w:lineRule="auto"/>
        <w:rPr>
          <w:sz w:val="20"/>
          <w:szCs w:val="20"/>
          <w:color w:val="auto"/>
        </w:rPr>
      </w:pPr>
      <w:r>
        <w:rPr>
          <w:rFonts w:ascii="Times New Roman" w:cs="Times New Roman" w:eastAsia="Times New Roman" w:hAnsi="Times New Roman"/>
          <w:sz w:val="22"/>
          <w:szCs w:val="22"/>
          <w:color w:val="auto"/>
        </w:rPr>
        <w:t>decide a claim, the period for making the benefit determination shall be tolled from the date on which the Notification of the extension is sent to the claimant until the date on which the claimant responds to the request for additional information.</w:t>
      </w:r>
    </w:p>
    <w:p>
      <w:pPr>
        <w:spacing w:after="0" w:line="158" w:lineRule="exact"/>
        <w:rPr>
          <w:sz w:val="20"/>
          <w:szCs w:val="20"/>
          <w:color w:val="auto"/>
        </w:rPr>
      </w:pPr>
    </w:p>
    <w:p>
      <w:pPr>
        <w:jc w:val="both"/>
        <w:ind w:firstLine="1304"/>
        <w:spacing w:after="0" w:line="253"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Notice Period</w:t>
      </w:r>
      <w:r>
        <w:rPr>
          <w:rFonts w:ascii="Times New Roman" w:cs="Times New Roman" w:eastAsia="Times New Roman" w:hAnsi="Times New Roman"/>
          <w:sz w:val="22"/>
          <w:szCs w:val="22"/>
          <w:color w:val="auto"/>
        </w:rPr>
        <w:t>. The ninety (90) day and sixty (60) day periods applicable to notice furnished by the Plan Administrator in Sections 12(a) and 12(b) above may be extended at the discretion of the Plan Administrator for a second ninety (90) or sixty (60) day period, as the case may be, provided that written notice of the extension is furnished to the claimant prior to the termination of the initial period, indicating the special circumstances requiring such extension of time and the date by which a final decision is expected.</w:t>
      </w:r>
    </w:p>
    <w:p>
      <w:pPr>
        <w:spacing w:after="0" w:line="17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Plan benefits shall be reduced to the extent an Eligible Employee owes money to the Company with the exception of any Company provided housing assistance loan to an Eligible Employee which loan will be payable in accordance with the terms of the loan. Except as set forth in the preceding sentence, no benefit payable under the Plan shall be subject in any way to alienation, sale, transfer, assignment, pledge, attachment, garnishment, execution, or encumbrance of any kind, and any attempt to accomplish the same shall be void. No Eligible Employee entitled to benefits under the Plan shall have power to transfer, assign, mortgage or otherwise encumber any interest he may have herein, or to anticipate in any manner by assignment, agreement (including, but not limited to, any agreement to pay alimony, separate maintenance or child support, whether or not said agreement is pursuant to, or embodied in, a court order), or otherwise, the payment of any benefit or any other sum to be provided for the Eligible Employee hereunder; nor shall the interest of any Eligible Employee under this Plan or in any benefit provided hereunder be subject to attachment, garnishment, seizure or sequestration for the payment of any debts, judgments, decrees or obligations of any kind owed by such person (including, but not limited to, any obligation to pay alimony, separate maintenance or child support for which said person shall be obligated by virtue of a court order or decree of any court of any jurisdiction or by virtue of any agreement whether or not embodied in such a court order or decree), or be transferable by operation of law in event of bankruptcy, insolvency or otherwise.</w:t>
      </w:r>
    </w:p>
    <w:p>
      <w:pPr>
        <w:spacing w:after="0" w:line="18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Facility of Payment</w:t>
      </w:r>
      <w:r>
        <w:rPr>
          <w:rFonts w:ascii="Times New Roman" w:cs="Times New Roman" w:eastAsia="Times New Roman" w:hAnsi="Times New Roman"/>
          <w:sz w:val="22"/>
          <w:szCs w:val="22"/>
          <w:color w:val="auto"/>
        </w:rPr>
        <w:t>. Whenever and as often as any person entitled to payments hereunder shall be determined to be a minor or under other legal disability or otherwise incapacitated in any way so as to be unable to manage the person’s financial affairs, the Sponsoring Employer, in its discretion, may direct that all or any portion of the benefit payments be made: (a) to such person; (b) to such person’s legal guardian or conservator; or (c) to such person’s spouse or to any other person. The decision of the Sponsoring Employer shall, in each case, be final and binding upon all persons. Any payment made pursuant to the authority herein conferred shall operate as a complete discharge of the obligations of the Sponsoring Employer under the Plan in respect thereof.</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Payment</w:t>
      </w:r>
      <w:r>
        <w:rPr>
          <w:rFonts w:ascii="Times New Roman" w:cs="Times New Roman" w:eastAsia="Times New Roman" w:hAnsi="Times New Roman"/>
          <w:sz w:val="22"/>
          <w:szCs w:val="22"/>
          <w:color w:val="auto"/>
        </w:rPr>
        <w:t>. The Sponsoring Employer shall be liable for the payment of benefits in accordance with the terms of the Plan. The benefits under the Plan shall be payable solely by the Sponsoring Employer and each Eligible Employee who shall claim the right to any payment under the Plan shall be entitled to look only to the Sponsoring Employer for such payment.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Benefits</w:t>
      </w:r>
      <w:r>
        <w:rPr>
          <w:rFonts w:ascii="Times New Roman" w:cs="Times New Roman" w:eastAsia="Times New Roman" w:hAnsi="Times New Roman"/>
          <w:sz w:val="22"/>
          <w:szCs w:val="22"/>
          <w:color w:val="auto"/>
        </w:rPr>
        <w:t>. The Sponsoring Employer shall have no obligation to set aside, earmark, or entrust any fund, policy, or money with which to pay its obligations under this Plan. The Eligible Employee, or any successor in interest, shall be and remain simply a general, unsecured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22" w:right="339" w:bottom="1440" w:gutter="0" w:footer="0" w:header="0"/>
        </w:sectPr>
      </w:pPr>
    </w:p>
    <w:bookmarkStart w:id="59" w:name="page60"/>
    <w:bookmarkEnd w:id="59"/>
    <w:p>
      <w:pPr>
        <w:jc w:val="both"/>
        <w:spacing w:after="0" w:line="271" w:lineRule="auto"/>
        <w:rPr>
          <w:sz w:val="20"/>
          <w:szCs w:val="20"/>
          <w:color w:val="auto"/>
        </w:rPr>
      </w:pPr>
      <w:r>
        <w:rPr>
          <w:rFonts w:ascii="Times New Roman" w:cs="Times New Roman" w:eastAsia="Times New Roman" w:hAnsi="Times New Roman"/>
          <w:sz w:val="22"/>
          <w:szCs w:val="22"/>
          <w:color w:val="auto"/>
        </w:rPr>
        <w:t>creditor of the Sponsoring Employer with respect to the benefits under this Plan in the same manner as any other creditor who has a general claim for an unpaid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GOVERNING LAW</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validity of this Plan or of any of its provisions shall be determined under, and it shall be construed and administered according to, the laws of the State of California (without regard to its choice of law principles), except to the extent preempted by ERISA, or any other applicable laws of the United States of America; provided that if any provision is susceptible to more than one interpretation, such interpretation shall be given thereto as is consistent with the Plan being an unfunded top hat employee welfare benefit plan maintained by an employer within the meaning of ERISA.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SEVERABILITY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any part of any provision of this Plan shall be invalid or unenforceable under applicable law, such part shall be ineffective to the extent of such invalidity or unenforceability only, without in any way affecting the remaining parts of such provision or the remaining provisions of this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DISCLAIMER OF RIGHTS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provision in this Plan shall be construed to confer upon any individual the right to remain in the employ or service of the Employer, or to interfere in any way with any contractual or other right or authority of the Employer either to increase or decrease the compensation or other payments to any individual at any time, to terminate any employment or other relationship between any individual and the Employer or to require the Employer to pay severance for any termination of employment prior to a Change in Control. The obligation of the Employer to pay any benefits pursuant to this Plan shall be interpreted as a contractual obligation to pay only those amounts described herein, in the manner and under the conditions prescribed herein. The Plan shall in no way be interpreted to require the Employer to transfer any amounts to a third party trustee or otherwise hold any amounts in trust or escrow for payment to any participant or beneficiary under the terms of the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CAPTIONS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use of captions in this Plan is for the convenience of reference only and shall not affect the meaning of any provision of this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NUMBER AND GENDER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With respect to words used in this Plan, the singular form shall include the plural form, the masculine gender shall include the feminine gender, etc., as the context requires.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INDEMNIFICATION</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To the extent permitted by law, the Sponsoring Employer shall indemnify and hold harmless the Plan Administrator (if not the Sponsoring Employer) and the Board from and against any and all liabilities, costs and expenses incurred by any such person as a result of any act, or omission to act, in connection with the performance of such person’s duties, responsibilities and obligations under the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51" w:lineRule="auto"/>
        <w:rPr>
          <w:sz w:val="20"/>
          <w:szCs w:val="20"/>
          <w:color w:val="auto"/>
        </w:rPr>
      </w:pPr>
      <w:r>
        <w:rPr>
          <w:rFonts w:ascii="Times New Roman" w:cs="Times New Roman" w:eastAsia="Times New Roman" w:hAnsi="Times New Roman"/>
          <w:sz w:val="22"/>
          <w:szCs w:val="22"/>
          <w:color w:val="auto"/>
        </w:rPr>
        <w:t>and under ERISA, other than such liabilities, costs and expenses as may result from the gross negligence or willful misconduct of any such person. The foregoing right of indemnification shall be in addition to any other right to which any such person may be entitled as a matter of law or otherwise. The Sponsoring Employer may obtain, pay for and keep current a policy or policies of insurance, insuring the Plan Administrator and the Board from and against any and all liabilities, costs and expenses incurred by any such person as a result of any act, or omission to act, in connection with the performance of his duties, responsibilities and obligations under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SECTION 409A</w:t>
      </w:r>
    </w:p>
    <w:p>
      <w:pPr>
        <w:spacing w:after="0" w:line="220" w:lineRule="exact"/>
        <w:rPr>
          <w:sz w:val="20"/>
          <w:szCs w:val="20"/>
          <w:color w:val="auto"/>
        </w:rPr>
      </w:pPr>
    </w:p>
    <w:p>
      <w:pPr>
        <w:jc w:val="both"/>
        <w:ind w:firstLine="1304"/>
        <w:spacing w:after="0" w:line="250" w:lineRule="auto"/>
        <w:tabs>
          <w:tab w:leader="none" w:pos="19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Plan to the contrary notwithstanding, if at the time of the Eligible Employee’s “separation from service” within the meaning of Section 409A of the Code, the Company determines that the Eligible Employee is a “specified employee” within the meaning of Section 409A(a)(2)(B)(i) of the Code, then to the extent any payment or benefit that the Eligible Employee becomes entitled to under this Plan on account of the Eligible Employee’s separation from service would be considered “nonqualified deferred compensation” subject to Section 409A(a) of the Code, such payment shall not be payable and such benefit shall not be provided until the date that is the earlier of (A) six months and one day after the Eligible Employee’s separation from service, or (B) the Eligible Employee’s death. Each payment under this Plan constitutes a separate payment for purposes of Section 409A of the Code.</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Plan will be administered in accordance with Section 409A of the Code. To the extent that any provision of this Plan is ambiguous as to its compliance with Section 409A of the Code, the provision shall be read in such a manner so that all payments hereunder comply with Section 409A of the Code. The parties agree that this Plan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1"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4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in-kind benefits provided and expenses eligible for reimbursement under this Plan shall be provided by the Employer or incurred by the Eligible Employee during the time periods set forth in this Plan.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68"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Plan constitutes “non-qualified deferred compensation” under Section 409A of the Code, and to the extent that such payment or benefit is payable upon the Eligible Employee’s termination of employment, then such payments or benefits shall be payable only upon the Eligible Employee’s “separation from service.” All references to an Eligible Employee’s termination of employment under this Plan shall only occur if the same also constitutes a “separation from service” as defined under Section 409A of the Code. The determination of whether and when a separation from service has occurred shall be made in accordance with the presumptions set forth in Treasury Regulation Section 1.409A-1(h).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22" w:right="339" w:bottom="1440" w:gutter="0" w:footer="0" w:header="0"/>
        </w:sectPr>
      </w:pPr>
    </w:p>
    <w:bookmarkStart w:id="61" w:name="page62"/>
    <w:bookmarkEnd w:id="61"/>
    <w:p>
      <w:pPr>
        <w:jc w:val="both"/>
        <w:ind w:left="-20" w:firstLine="1304"/>
        <w:spacing w:after="0" w:line="257" w:lineRule="auto"/>
        <w:tabs>
          <w:tab w:leader="none" w:pos="192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Eligible Employee or any other person if any provisions of this Plan are determined to constitute deferred compensation subject to Section 409A of the Code but do not satisfy an exemption from, or the conditions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40" w:top="1422" w:right="339" w:bottom="1440" w:gutter="0" w:footer="0" w:header="0"/>
        </w:sectPr>
      </w:pPr>
    </w:p>
    <w:bookmarkStart w:id="62" w:name="page63"/>
    <w:bookmarkEnd w:id="62"/>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Agreement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RELEASE AGREEMENT is entered into as of ___________, 20__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____________ (the</w:t>
      </w:r>
    </w:p>
    <w:p>
      <w:pPr>
        <w:spacing w:after="0" w:line="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in consideration of the severance payments and benefits (collectively, the “</w:t>
      </w:r>
      <w:r>
        <w:rPr>
          <w:rFonts w:ascii="Times New Roman" w:cs="Times New Roman" w:eastAsia="Times New Roman" w:hAnsi="Times New Roman"/>
          <w:sz w:val="21"/>
          <w:szCs w:val="21"/>
          <w:u w:val="single" w:color="auto"/>
          <w:color w:val="auto"/>
        </w:rPr>
        <w:t>Severance Payment</w:t>
      </w:r>
      <w:r>
        <w:rPr>
          <w:rFonts w:ascii="Times New Roman" w:cs="Times New Roman" w:eastAsia="Times New Roman" w:hAnsi="Times New Roman"/>
          <w:sz w:val="21"/>
          <w:szCs w:val="21"/>
          <w:color w:val="auto"/>
        </w:rPr>
        <w:t>”) provided to the Employee by The Macerich Company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The Macerich Company Change in Control Severance Pay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All capitalized terms used in this Release Agreement and not otherwise defined shall be as defined in the Plan.</w:t>
      </w:r>
    </w:p>
    <w:p>
      <w:pPr>
        <w:spacing w:after="0" w:line="161" w:lineRule="exact"/>
        <w:rPr>
          <w:sz w:val="20"/>
          <w:szCs w:val="20"/>
          <w:color w:val="auto"/>
        </w:rPr>
      </w:pPr>
    </w:p>
    <w:p>
      <w:pPr>
        <w:jc w:val="both"/>
        <w:ind w:firstLine="656"/>
        <w:spacing w:after="0" w:line="247"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and Release</w:t>
      </w:r>
      <w:r>
        <w:rPr>
          <w:rFonts w:ascii="Times New Roman" w:cs="Times New Roman" w:eastAsia="Times New Roman" w:hAnsi="Times New Roman"/>
          <w:sz w:val="22"/>
          <w:szCs w:val="22"/>
          <w:color w:val="auto"/>
        </w:rPr>
        <w:t>. The Employee, on her/his own behalf and on behalf of her/his heirs, executors, administrators, attorneys and assigns, hereby unconditionally and irrevocably releases, waives and forever discharges Company and each of its affiliates, parents, successors, predecessors, and the subsidiaries, directors, owners, members, shareholders, officers, agents, and employees of the Company and its affiliates, parents, successors, predecessors, and subsidiaries (collectively, all of the foregoing are referred to as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from any and all causes of action, claims and damages, including attorneys’ fees, whether known or unknown, foreseen or unforeseen, presently asserted or otherwise arising through the date of her/his signing of this Release Agreement, concerning her/his employment or separation from employment. This release includes, but is not limited to, any claim or entitlement to salary, bonuses, any other payments, benefits or damages arising under any federal law (including, but not limited to, Title VII of the Civil Rights Act of 1964, the Age Discrimination in Employment Act, the Employee Retirement Income Security Act of 1974, the Americans with Disabilities Act, Executive Order 11246, the Family and Medical Leave Act, and the Worker Adjustment and Retraining Notification Act, each as amended) and any other federal, state, local or foreign law relating to notice of employment termination or to severance pay; any claim arising under any state or local laws, ordinances or regulations (including, but not limited to, any state or local laws, ordinances or regulations requiring that advance notice be given of certain workforce reductions); and any claim arising under any common law principle or public policy, including, but not limited to, all suits in tort or contract, such as wrongful termination, defamation, emotional distress, invasion of privacy or loss of consortium.</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Employee understands that by signing this Release Agreement she/he is waiving any right to monetary recovery or individual relief should any federal, state or local agency (including the Equal Employment Opportunity Commission) pursue any claim on her/his behalf arising out of or related to her/his employment with and/or separation from employment with the Employer. The Employee understands that this Release Agreement, does not limit or interfere with the Employee’s right, without notice to or authorization of the Employer, to file a charge or complaint with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 (each a “</w:t>
      </w:r>
      <w:r>
        <w:rPr>
          <w:rFonts w:ascii="Times New Roman" w:cs="Times New Roman" w:eastAsia="Times New Roman" w:hAnsi="Times New Roman"/>
          <w:sz w:val="22"/>
          <w:szCs w:val="22"/>
          <w:u w:val="single" w:color="auto"/>
          <w:color w:val="auto"/>
        </w:rPr>
        <w:t>Governmental Agency</w:t>
      </w:r>
      <w:r>
        <w:rPr>
          <w:rFonts w:ascii="Times New Roman" w:cs="Times New Roman" w:eastAsia="Times New Roman" w:hAnsi="Times New Roman"/>
          <w:sz w:val="22"/>
          <w:szCs w:val="22"/>
          <w:color w:val="auto"/>
        </w:rPr>
        <w:t>”), or to testify, assist or participate in any investigation, hearing or proceeding conducted by a Governmental Agency in the event Employee file a charge or complaint with a Governmental Agency, or a Governmental Agency asserts a claim on the Employee’s behalf, the Employee agrees that the Employee’s release of claims in this Release Agreement shall nevertheless bar the Employee’s right (if any) to any monetary or other recovery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63" w:name="page64"/>
    <w:bookmarkEnd w:id="63"/>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(including reinstatement) with respect to released claims, except that the Employee does not waive: (i) the Employee’s right to receive an award from the Securities and Exchange Commission pursuant to Section 21 F of the Securities Exchange Act of 1934, and (ii) any other claims or administrative charges which cannot be waived by law.</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Employee expressly waives the benefits of Section 1542 of the California Civil Code which provides that:</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which the creditor does not know or suspect to exist in her/his favor at the time of executing the release, which if known by her/him must have materially affected her/his settlement with the debtor.”</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Employee, being aware of said code section, understands and acknowledges the significance and consequences of such specific waiver of Section 1542 and agrees to expressly waive any rights Employee may have thereunder, as well as under any other statute or common law principles of similar effect. The Employee hereby assumes full responsibility for any injuries, damages or losses that the Employee may incur as a result of such waiver.</w:t>
      </w:r>
    </w:p>
    <w:p>
      <w:pPr>
        <w:spacing w:after="0" w:line="176" w:lineRule="exact"/>
        <w:rPr>
          <w:sz w:val="20"/>
          <w:szCs w:val="20"/>
          <w:color w:val="auto"/>
        </w:rPr>
      </w:pPr>
    </w:p>
    <w:p>
      <w:pPr>
        <w:ind w:firstLine="656"/>
        <w:spacing w:after="0" w:line="271"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The Employee is signing this Release Agreement knowingly and voluntarily. She/he acknowledges that:</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4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is hereby advised by the Company to discuss all aspects of this Release Agreement with an attorney before signing this Release Agreement;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has relied solely on her/his own judgment and/or that of her/his attorney regarding the consideration for and the terms of this Release Agreement and is signing this Release Agreement knowingly and voluntarily of her/his own free will;</w:t>
      </w:r>
    </w:p>
    <w:p>
      <w:pPr>
        <w:spacing w:after="0" w:line="172" w:lineRule="exact"/>
        <w:rPr>
          <w:rFonts w:ascii="Times New Roman" w:cs="Times New Roman" w:eastAsia="Times New Roman" w:hAnsi="Times New Roman"/>
          <w:sz w:val="22"/>
          <w:szCs w:val="22"/>
          <w:color w:val="auto"/>
        </w:rPr>
      </w:pPr>
    </w:p>
    <w:p>
      <w:pPr>
        <w:ind w:right="20" w:firstLine="1304"/>
        <w:spacing w:after="0" w:line="284" w:lineRule="auto"/>
        <w:tabs>
          <w:tab w:leader="none" w:pos="193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is not entitled to the Severance Payment unless she/he agrees to and fully complies with the terms of this Release Agreement;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has been given at least [twenty-one (21)] [forty-five (45)] calendar days to consider this Release Agreement (the “Consideration Period”). If she/he signs this Release Agreement before the end of the Consideration Period, she/he acknowledges by signing this Release Agreement that such decision was entirely voluntary and that she/he had the opportunity to consider this Release Agreement for the entire Consideration Period.</w:t>
      </w:r>
    </w:p>
    <w:p>
      <w:pPr>
        <w:spacing w:after="0" w:line="192"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32"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 or she may revoke this Release Agreement within seven (7) calendar days after signing it by submitting a written notice of revocation to the Employer. She/he further understands that this Release Agreement is not fully effective until the next business day after the seven (7) day period of revocation has expired without revocation, and that if she/he revokes this Release Agreement within the seven (7) day revocation period, she/he will not receive the Severance Payment;</w:t>
      </w:r>
    </w:p>
    <w:p>
      <w:pPr>
        <w:spacing w:after="0" w:line="163" w:lineRule="exact"/>
        <w:rPr>
          <w:rFonts w:ascii="Times New Roman" w:cs="Times New Roman" w:eastAsia="Times New Roman" w:hAnsi="Times New Roman"/>
          <w:sz w:val="21"/>
          <w:szCs w:val="21"/>
          <w:color w:val="auto"/>
        </w:rPr>
      </w:pPr>
    </w:p>
    <w:p>
      <w:pPr>
        <w:ind w:firstLine="1304"/>
        <w:spacing w:after="0" w:line="271" w:lineRule="auto"/>
        <w:tabs>
          <w:tab w:leader="none" w:pos="193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has read and understands this Release Agreement and further understands that it includes a general release of any and all known and unknown, foreseen or unforeseen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22" w:right="339" w:bottom="1440" w:gutter="0" w:footer="0" w:header="0"/>
        </w:sectPr>
      </w:pPr>
    </w:p>
    <w:bookmarkStart w:id="64" w:name="page65"/>
    <w:bookmarkEnd w:id="64"/>
    <w:p>
      <w:pPr>
        <w:spacing w:after="0" w:line="271" w:lineRule="auto"/>
        <w:rPr>
          <w:sz w:val="20"/>
          <w:szCs w:val="20"/>
          <w:color w:val="auto"/>
        </w:rPr>
      </w:pPr>
      <w:r>
        <w:rPr>
          <w:rFonts w:ascii="Times New Roman" w:cs="Times New Roman" w:eastAsia="Times New Roman" w:hAnsi="Times New Roman"/>
          <w:sz w:val="22"/>
          <w:szCs w:val="22"/>
          <w:color w:val="auto"/>
        </w:rPr>
        <w:t>claims presently asserted or otherwise arising through the date of her/his signing of this Release Agreement that she/he may have against the Employer; and</w:t>
      </w:r>
    </w:p>
    <w:p>
      <w:pPr>
        <w:spacing w:after="0" w:line="158" w:lineRule="exact"/>
        <w:rPr>
          <w:sz w:val="20"/>
          <w:szCs w:val="20"/>
          <w:color w:val="auto"/>
        </w:rPr>
      </w:pPr>
    </w:p>
    <w:p>
      <w:pPr>
        <w:ind w:right="20" w:firstLine="1304"/>
        <w:spacing w:after="0" w:line="284" w:lineRule="auto"/>
        <w:tabs>
          <w:tab w:leader="none" w:pos="193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statements made or conduct by the Employer has in any way coerced or unduly influenced her/him to execute this Release Agreement.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Severance Payment, she/he has been paid all wages, bonuses, compensation, benefits and other amounts that the Employer ever owed to him or her. Further she/he acknowledges and agrees that she/he is not entitled to any other severance pay, benefits or equity rights including without limitation, pursuant to any other severance plan, or program or arrangement.</w:t>
      </w:r>
    </w:p>
    <w:p>
      <w:pPr>
        <w:spacing w:after="0" w:line="19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This Release Agreement does not constitute an admission of liability or wrongdoing on the part of the Employer, the Employer does not admit there has been any wrongdoing whatsoever against the Employee, and the Employer expressly denies that any wrongdoing has occurred.</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There are no other agreements of any nature between the Employer and the Employee with respect to the matters discussed in this Release Agreement, except as expressly stated herein, and in signing this Release Agreement, the Employee is not relying on any agreements or representations, except those expressly contained in this Release Agreement.</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It is not necessary that the Employer sign this Release Agreement following the Employee’s full and complete execution of it for it to become fully effective and enforceable.</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Release Agreement is found, held or deemed by a court of competent jurisdiction to be void, unlawful or unenforceable under any applicable statute or controlling law, the remainder of this Release Agreement shall continue in full force and effect.</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Release Agreement shall be governed by the laws of the State of California, excluding the choice of law rules thereof.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and subsection headings contained in this Release Agreement are inserted for the convenience of reference only. Section and subsection headings shall not be deemed to be a part of this Release Agreement for any purpose, and they shall not in any way define or affect the meaning, construction or scope of any of the provisions hereof.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22" w:right="339" w:bottom="1440" w:gutter="0" w:footer="0" w:header="0"/>
        </w:sectPr>
      </w:pPr>
    </w:p>
    <w:bookmarkStart w:id="65" w:name="page66"/>
    <w:bookmarkEnd w:id="65"/>
    <w:p>
      <w:pPr>
        <w:spacing w:after="0" w:line="2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duly executed this Agreement as of the day and year first herein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320" w:top="1440" w:right="659" w:bottom="1440" w:gutter="0" w:footer="0" w:header="0"/>
        </w:sectPr>
      </w:pPr>
    </w:p>
    <w:bookmarkStart w:id="66" w:name="page67"/>
    <w:bookmarkEnd w:id="66"/>
    <w:p>
      <w:pPr>
        <w:ind w:left="5380"/>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9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THE MACERICH COMPANY</w:t>
      </w:r>
    </w:p>
    <w:p>
      <w:pPr>
        <w:spacing w:after="0" w:line="2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February 1, 2024 is entered into by and between The Macerich Company, a Maryland corporation (including any successors and/or assigns,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Jackson Hsieh (the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employ the Employee as Chief Executive Officer and President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as of March 1, 2024, and the Employee desires to enter into an employment relationship with the Company, subject to the terms and conditions of this Agreement.</w:t>
      </w:r>
    </w:p>
    <w:p>
      <w:pPr>
        <w:spacing w:after="0" w:line="161"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foregoing, of the mutual promises contained herein and of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are hereby acknowledged, the parties hereto hereby agree as follows:</w:t>
      </w:r>
    </w:p>
    <w:p>
      <w:pPr>
        <w:spacing w:after="0" w:line="127" w:lineRule="exact"/>
        <w:rPr>
          <w:sz w:val="20"/>
          <w:szCs w:val="20"/>
          <w:color w:val="auto"/>
        </w:rPr>
      </w:pPr>
    </w:p>
    <w:p>
      <w:pPr>
        <w:jc w:val="both"/>
        <w:ind w:firstLine="656"/>
        <w:spacing w:after="0" w:line="249" w:lineRule="auto"/>
        <w:tabs>
          <w:tab w:leader="none" w:pos="129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TERM</w:t>
      </w:r>
      <w:r>
        <w:rPr>
          <w:rFonts w:ascii="Times New Roman" w:cs="Times New Roman" w:eastAsia="Times New Roman" w:hAnsi="Times New Roman"/>
          <w:sz w:val="22"/>
          <w:szCs w:val="22"/>
          <w:color w:val="auto"/>
        </w:rPr>
        <w:t>. The Company agrees to employ the Employee pursuant to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Employee agrees to be so employed, for a term commencing on March 1,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ending on the third anniversary of the Effective Date (the “</w:t>
      </w:r>
      <w:r>
        <w:rPr>
          <w:rFonts w:ascii="Times New Roman" w:cs="Times New Roman" w:eastAsia="Times New Roman" w:hAnsi="Times New Roman"/>
          <w:sz w:val="22"/>
          <w:szCs w:val="22"/>
          <w:u w:val="single" w:color="auto"/>
          <w:color w:val="auto"/>
        </w:rPr>
        <w:t>Initial Expiration Date</w:t>
      </w:r>
      <w:r>
        <w:rPr>
          <w:rFonts w:ascii="Times New Roman" w:cs="Times New Roman" w:eastAsia="Times New Roman" w:hAnsi="Times New Roman"/>
          <w:sz w:val="22"/>
          <w:szCs w:val="22"/>
          <w:color w:val="auto"/>
        </w:rPr>
        <w:t xml:space="preserve">”). On the Initial Expiration Date and on each anniversary thereof, the term of this Agreement shall be automatically extended for successive one (1)-year periods; provided, however, that the Company, on the one hand, or the Employee, on the other hand, may elect not to extend this Agreement by giving written notice to the other party at least ninety (90) days prior to any such anniversary date. Any termination of the Employee’s employment following expiration of the Employment Term as a result of non-extension by the Company shall be treated as a termination by the Company without Cause. Notwithstanding the foregoing, the Employee’s employment hereunder may be earlier terminated in accordance with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 subject to the provisions of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The period of time between the Effective Date and the termination of the Employee’s employment hereunder shall be referred to herein as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During the Employment Term, the Employee shall serve as Chief Executive Officer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President of the Company. In this capacity, the Employee shall have responsibility for implementation of the policies of the Company, as determined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highlight w:val="white"/>
        </w:rPr>
        <w:t>”), for the management of the business and affairs</w:t>
      </w:r>
      <w:r>
        <w:rPr>
          <w:rFonts w:ascii="Times New Roman" w:cs="Times New Roman" w:eastAsia="Times New Roman" w:hAnsi="Times New Roman"/>
          <w:sz w:val="22"/>
          <w:szCs w:val="22"/>
          <w:color w:val="auto"/>
        </w:rPr>
        <w:t xml:space="preserve"> of the Company together with such other duties, authorities and responsibilities as may reasonably be assigned to the Employee from time to time by the Board that are not inconsistent with the Employee’s positions with the Company. The Employee shall report directly and exclusively to the Board.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67" w:name="page68"/>
    <w:bookmarkEnd w:id="67"/>
    <w:p>
      <w:pPr>
        <w:jc w:val="both"/>
        <w:ind w:firstLine="1304"/>
        <w:spacing w:after="0" w:line="249" w:lineRule="auto"/>
        <w:tabs>
          <w:tab w:leader="none" w:pos="193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ACTIVITIES</w:t>
      </w:r>
      <w:r>
        <w:rPr>
          <w:rFonts w:ascii="Times New Roman" w:cs="Times New Roman" w:eastAsia="Times New Roman" w:hAnsi="Times New Roman"/>
          <w:sz w:val="22"/>
          <w:szCs w:val="22"/>
          <w:color w:val="auto"/>
        </w:rPr>
        <w:t>. During the Employment Term, the Employee shall devote substantially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business time, business judgment, knowledge and skill and the Employee’s reasonable best efforts to the performance of the Employee’s duties with the Company, provided that the foregoing shall not prevent the Employee from (i) with prior written notice to the Board, serving on the boards of directors of non-profit organizations and, with the prior written approval of the Board (with such approval not to be unreasonably withheld), serving on up to one board of directors of a for-profit company, (ii) participating in charitable, civic, educational, professional, community or industry affairs, and (iii) managing the Employee’s personal investments and affairs so long as such activities, either individually or in the aggregate, do not interfere or conflict with the Employee’s duties hereunder or create a potential business or fiduciary conflict. Employee will comply with the Company’s policies and rules, as they may be in effect from time to time during the Employment Term and provided to Employee.</w:t>
      </w:r>
    </w:p>
    <w:p>
      <w:pPr>
        <w:spacing w:after="0" w:line="18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BOARD MEMBERSHIP</w:t>
      </w:r>
      <w:r>
        <w:rPr>
          <w:rFonts w:ascii="Times New Roman" w:cs="Times New Roman" w:eastAsia="Times New Roman" w:hAnsi="Times New Roman"/>
          <w:sz w:val="22"/>
          <w:szCs w:val="22"/>
          <w:color w:val="auto"/>
        </w:rPr>
        <w:t>. During the Employment Term, the Board shall take such action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to appoint the Employee, and nominate the Employee to stand for re-election, in each case, as an executive member of the Board; provided, however, that the Company shall not be obligated to cause such nomination if any of the events constituting Cause (as defined below) have occurred (and, if curable, not been substantially cured by the Employee), or if such action would conflict with or violate any action, rule or requirement of a legal or regulatory body (including its representative) to which the Company is subject.</w:t>
      </w:r>
    </w:p>
    <w:p>
      <w:pPr>
        <w:spacing w:after="0" w:line="174"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3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PRINCIPAL WORK LOCATION</w:t>
      </w:r>
      <w:r>
        <w:rPr>
          <w:rFonts w:ascii="Times New Roman" w:cs="Times New Roman" w:eastAsia="Times New Roman" w:hAnsi="Times New Roman"/>
          <w:sz w:val="22"/>
          <w:szCs w:val="22"/>
          <w:color w:val="auto"/>
        </w:rPr>
        <w:t>. Employee’s principal place of employment will be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 located at 8214 Westchester Dr., Dallas, Texas, 75225. Employee shall be required to travel domestically and internationally when Employee’s duties require for such travel or when reasonably requested by the Board, including regular travel to the Company’s offices and the Company’s properties located throughout the United States.</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During the Employment Term, the Company agrees to pay the Employee a base salary at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rate of $1,000,000 payable in accordance with the regular payroll practices of the Company, but not less frequently than monthly. The Employee’s Base Salary shall be subject to annual review and may be increased from time to time by the Board (or a committee thereof). The base salary as determined herein and as increased from time to time shall constitute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purposes of this Agreement. The Base Salary shall not be decreased at any time, or for any purpose, during the Employment Term (including, without limitation, for the purpose of determining benefits due under Section 7) without the Employee’s prior written consent.</w:t>
      </w:r>
    </w:p>
    <w:p>
      <w:pPr>
        <w:spacing w:after="0" w:line="18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INCENTIVE 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4" w:lineRule="auto"/>
        <w:tabs>
          <w:tab w:leader="none" w:pos="194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For each calendar year during the Employment Term (including for all of 2024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pro-ration) the Employee shall be eligible to receive an annual incentive payment under the Company’s annual bonus plan as may be in effect from time to time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based on a target bonus opportunity equal to 150% of the Employee’s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upon the attainment of one or more pre-established performance goals established by the Board (or a committee thereof) in its sole discretion in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68" w:name="page69"/>
    <w:bookmarkEnd w:id="68"/>
    <w:p>
      <w:pPr>
        <w:jc w:val="both"/>
        <w:spacing w:after="0" w:line="260" w:lineRule="auto"/>
        <w:rPr>
          <w:sz w:val="20"/>
          <w:szCs w:val="20"/>
          <w:color w:val="auto"/>
        </w:rPr>
      </w:pPr>
      <w:r>
        <w:rPr>
          <w:rFonts w:ascii="Times New Roman" w:cs="Times New Roman" w:eastAsia="Times New Roman" w:hAnsi="Times New Roman"/>
          <w:sz w:val="21"/>
          <w:szCs w:val="21"/>
          <w:color w:val="auto"/>
        </w:rPr>
        <w:t>consultation with the Employee. The Company expects that the Board (or a committee thereof) will formally review performance at least annually in consultation with the Employee. The Employee’s Annual Bonus for a calendar year shall be determined by the Board (or a committee thereof) after the end of the applicable calendar year based on the level of achievement of the applicable performance criteria, and shall be paid to the Employee in the calendar year (but no later than March 15 of such calendar year) following the calendar year to which such Annual Bonus relates at the same time annual bonuses are paid to other senior executives of the Company, subject to continued employment at the time of payment. The Annual Bonus may be paid in the form of cash or equity under the 2003 Equity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as determined by the Compensation Committee of the Board, following consultation with the Employee. Notwithstanding the forgoing, the Employee’s Annual Bonus for 2024 will be paid entirely in cash and in an amount no less than target (and without proration), it being agreed that the Company will pay to the Employee an amount in cash equal to the Employee’s target Annual Bonus on or before December 31, 2024, and any amounts payable above target based on the actual level of achievement of the applicable performance criteria will be paid to the Employee at the same time annual bonuses are paid to other senior executives of the Company. For the avoidance of doubt, for purposes of calculating Employee’s “Bonus” under the Severance Plan (as defined below), in the event Employee incurs a Qualifying Termination (as defined in the Severance Plan) prior to the date in which Employee’s Annual Bonus for 2024 is paid, the “Bonus” shall be equal to Employee’s target Annual Bonus for 2024.</w:t>
      </w:r>
    </w:p>
    <w:p>
      <w:pPr>
        <w:spacing w:after="0" w:line="176" w:lineRule="exact"/>
        <w:rPr>
          <w:sz w:val="20"/>
          <w:szCs w:val="20"/>
          <w:color w:val="auto"/>
        </w:rPr>
      </w:pPr>
    </w:p>
    <w:p>
      <w:pPr>
        <w:jc w:val="both"/>
        <w:ind w:firstLine="1304"/>
        <w:spacing w:after="0" w:line="259" w:lineRule="auto"/>
        <w:tabs>
          <w:tab w:leader="none" w:pos="193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LONG-TERM INCENTIVE AWARDS</w:t>
      </w:r>
      <w:r>
        <w:rPr>
          <w:rFonts w:ascii="Times New Roman" w:cs="Times New Roman" w:eastAsia="Times New Roman" w:hAnsi="Times New Roman"/>
          <w:sz w:val="21"/>
          <w:szCs w:val="21"/>
          <w:color w:val="auto"/>
        </w:rPr>
        <w:t>. During the Employment Term, the Employee shall be eligible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equity and other long-term incentive awards under any applicable plan adopted by the Company, including the LTI Award Program (the “LTI Program”) under the Plan. The target grant date fair value of the Employee’s annual LTI award beginning in 2024 will be $6,500,000 (“</w:t>
      </w:r>
      <w:r>
        <w:rPr>
          <w:rFonts w:ascii="Times New Roman" w:cs="Times New Roman" w:eastAsia="Times New Roman" w:hAnsi="Times New Roman"/>
          <w:sz w:val="21"/>
          <w:szCs w:val="21"/>
          <w:u w:val="single" w:color="auto"/>
          <w:color w:val="auto"/>
        </w:rPr>
        <w:t>Target LTI</w:t>
      </w:r>
      <w:r>
        <w:rPr>
          <w:rFonts w:ascii="Times New Roman" w:cs="Times New Roman" w:eastAsia="Times New Roman" w:hAnsi="Times New Roman"/>
          <w:sz w:val="21"/>
          <w:szCs w:val="21"/>
          <w:color w:val="auto"/>
        </w:rPr>
        <w:t xml:space="preserve">”) granted in the following allocations: 35% of the award as a time-vesting award in the form of LTIP units under the LTI Program, vesting ratably over three years (one-third per year measured from the date of grant), and 65% of the award as a performance-vesting award, also in the form of LTIP units, vesting over a three-year performance period and with an opportunity to earn up to a maximum of 225% of the target number of performance-based LTIP units based on one or more pre-established performance goals established by the Board (or a committee thereof) in its sole discretion in consultation with the Employee; provided, however, that the Board (or a committee thereof) shall not be required to consult with Employee in establishing such performance goals for the performance-vesting LTIP units granted in 2024. In each case the terms and conditions of any award shall be governed by one or more award agreements entered into between the Employee and the Company consistent with this Agreement and the form of Service-Based LTIP Award Agreement and Performance-Based LTIP Award Agreement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For each calendar year of the Employment Term, the Target LTI shall vest on the same terms as annual equity grants made to all other senior executive officers of the Company, as determined by the Compensation Committee of the Board, and shall be granted in the form of LTIP units or, to the extent permitted by the Compensation Committee of the Board in consultation with the Employee, restricted stock units. Notwithstanding the foregoing, all LTI grants to the Employee shall vest upon the Employee’s termination by the Company for no reason or for any reason other than Cause (as defined in the Company’s Amended and Restated Severance Pay Plan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Plan</w:t>
      </w:r>
      <w:r>
        <w:rPr>
          <w:rFonts w:ascii="Times New Roman" w:cs="Times New Roman" w:eastAsia="Times New Roman" w:hAnsi="Times New Roman"/>
          <w:sz w:val="22"/>
          <w:szCs w:val="22"/>
          <w:color w:val="auto"/>
          <w:highlight w:val="white"/>
        </w:rPr>
        <w:t>”), as modified herein), termination of the Employee’s employment by the Employee with Good Reason (as</w:t>
      </w:r>
      <w:r>
        <w:rPr>
          <w:rFonts w:ascii="Times New Roman" w:cs="Times New Roman" w:eastAsia="Times New Roman" w:hAnsi="Times New Roman"/>
          <w:sz w:val="22"/>
          <w:szCs w:val="22"/>
          <w:color w:val="auto"/>
        </w:rPr>
        <w:t xml:space="preserve"> defined in the Severance Plan, as modified herein), the Employee’s death, or Disability (as defined in the Severance Plan), on terms no less favorable than those contained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The Employee’s equity and/or other long-term incentive awards for each calendar year during the Employment Term shall be granted by the Company to the Employee at approximately the same time that annual equity and other long-term incentive awards are granted by the Company to other Company senior executive officers; provided that the annual long-term incentive awards for 2024, which are a material inducement to the Employee entering into this Agreement with the Company, shall be granted on the Effective Date. For purposes of the Employee’s equity and long-term incentive awards, the Employee shall be credited with five additional years of service in connection with the Employee’s eligibility for retirement treatment.</w:t>
      </w:r>
    </w:p>
    <w:p>
      <w:pPr>
        <w:spacing w:after="0" w:line="176" w:lineRule="exact"/>
        <w:rPr>
          <w:sz w:val="20"/>
          <w:szCs w:val="20"/>
          <w:color w:val="auto"/>
        </w:rPr>
      </w:pPr>
    </w:p>
    <w:p>
      <w:pPr>
        <w:jc w:val="both"/>
        <w:ind w:firstLine="1304"/>
        <w:spacing w:after="0" w:line="249" w:lineRule="auto"/>
        <w:tabs>
          <w:tab w:leader="none" w:pos="194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SIGN-ON LONG-TERM INCENTIVE AWARD</w:t>
      </w:r>
      <w:r>
        <w:rPr>
          <w:rFonts w:ascii="Times New Roman" w:cs="Times New Roman" w:eastAsia="Times New Roman" w:hAnsi="Times New Roman"/>
          <w:sz w:val="22"/>
          <w:szCs w:val="22"/>
          <w:color w:val="auto"/>
        </w:rPr>
        <w:t>. In addition to the annual long-term incentive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2024, as a material inducement to the Employee entering into this Agreement with the Company, on the Effective Date, the Compensation Committee of the Board shall grant Employee an award of service-based LTIP units with a grant date fair value equal to $5,000,000, as determined by the Board in good faith (such grant, the “</w:t>
      </w:r>
      <w:r>
        <w:rPr>
          <w:rFonts w:ascii="Times New Roman" w:cs="Times New Roman" w:eastAsia="Times New Roman" w:hAnsi="Times New Roman"/>
          <w:sz w:val="22"/>
          <w:szCs w:val="22"/>
          <w:u w:val="single" w:color="auto"/>
          <w:color w:val="auto"/>
        </w:rPr>
        <w:t>Sign-On LTIP Grant</w:t>
      </w:r>
      <w:r>
        <w:rPr>
          <w:rFonts w:ascii="Times New Roman" w:cs="Times New Roman" w:eastAsia="Times New Roman" w:hAnsi="Times New Roman"/>
          <w:sz w:val="22"/>
          <w:szCs w:val="22"/>
          <w:color w:val="auto"/>
        </w:rPr>
        <w:t xml:space="preserve">”) and in accordance with the LTI Program. Fifty percent (50%) of the Sign-On LTIP Grant will vest on the third anniversary following the Effective Date, twenty-five percent (25%) of the Sign-On LTIP Grant will vest on the fourth anniversary following the Effective Date and twenty-five percent (25%) of the Sign-On LTIP Grant will vest on the fifth anniversary following the Effective Date, in each case subject to the Employee’s continued service with the Company on each applicable vesting date, and the terms and conditions of the LTIP Unit Award Agreement evidencing such award, in substantially the form of award agreement attached hereto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Sign-On LTIP Award Agreement</w:t>
      </w:r>
      <w:r>
        <w:rPr>
          <w:rFonts w:ascii="Times New Roman" w:cs="Times New Roman" w:eastAsia="Times New Roman" w:hAnsi="Times New Roman"/>
          <w:sz w:val="22"/>
          <w:szCs w:val="22"/>
          <w:color w:val="auto"/>
        </w:rPr>
        <w:t>”), and any additional accelerated vesting to which Employee may become entitled pursuant to the terms of the Severance Plan.</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94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BENEFIT PLANS</w:t>
      </w:r>
      <w:r>
        <w:rPr>
          <w:rFonts w:ascii="Times New Roman" w:cs="Times New Roman" w:eastAsia="Times New Roman" w:hAnsi="Times New Roman"/>
          <w:sz w:val="22"/>
          <w:szCs w:val="22"/>
          <w:color w:val="auto"/>
        </w:rPr>
        <w:t>. During the Employment Term, the Employee shall be entitled to participate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benefit plan that the Company has adopted or may adopt, maintain or contribute to for the benefit of its employees generally, including (but not limited to) any deferred compensation program implemented pursuant to Section 5.4 of the Plan or otherwise adopted by the Company, subject to satisfying the applicable eligibility requirements, and except to the extent such plans are duplicative of the benefits otherwise provided hereunder. The Employee’s participation will be subject to the terms of the applicable plan documents and generally applicable Company policies. Notwithstanding the foregoing, the Company may modify or terminate any employee benefit plan at any time provided, Employee shall be treated no less favorably than other senior executives of the Company are treated.</w:t>
      </w:r>
    </w:p>
    <w:p>
      <w:pPr>
        <w:spacing w:after="0" w:line="181"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VACATION TIME</w:t>
      </w:r>
      <w:r>
        <w:rPr>
          <w:rFonts w:ascii="Times New Roman" w:cs="Times New Roman" w:eastAsia="Times New Roman" w:hAnsi="Times New Roman"/>
          <w:sz w:val="22"/>
          <w:szCs w:val="22"/>
          <w:color w:val="auto"/>
        </w:rPr>
        <w:t>. During the Employment Term, the Employee will be eligible for paid time off,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the Company’s paid time off policy generally available to similarly situated employees of the Company, as it may be amended from time to time.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70" w:name="page71"/>
    <w:bookmarkEnd w:id="70"/>
    <w:p>
      <w:pPr>
        <w:jc w:val="both"/>
        <w:ind w:firstLine="1304"/>
        <w:spacing w:after="0" w:line="258"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BUSINESS AND TRAVEL EXPENSES</w:t>
      </w:r>
      <w:r>
        <w:rPr>
          <w:rFonts w:ascii="Times New Roman" w:cs="Times New Roman" w:eastAsia="Times New Roman" w:hAnsi="Times New Roman"/>
          <w:sz w:val="22"/>
          <w:szCs w:val="22"/>
          <w:color w:val="auto"/>
        </w:rPr>
        <w:t>. Upon presentation of reasonable substantiation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documentation as the Company may specify from time to time, the Employee shall be reimbursed in accordance with the Company’s expense reimbursement policy, for all reasonable out-of-pocket business and travel expenses incurred and paid by the Employee during the Employment Term and in connection with the performance of the Employee’s duties hereunder.</w:t>
      </w:r>
    </w:p>
    <w:p>
      <w:pPr>
        <w:spacing w:after="0" w:line="167" w:lineRule="exact"/>
        <w:rPr>
          <w:rFonts w:ascii="Times New Roman" w:cs="Times New Roman" w:eastAsia="Times New Roman" w:hAnsi="Times New Roman"/>
          <w:sz w:val="22"/>
          <w:szCs w:val="22"/>
          <w:color w:val="auto"/>
        </w:rPr>
      </w:pPr>
    </w:p>
    <w:p>
      <w:pPr>
        <w:ind w:firstLine="1304"/>
        <w:spacing w:after="0" w:line="275" w:lineRule="auto"/>
        <w:tabs>
          <w:tab w:leader="none" w:pos="193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LEGAL FEES</w:t>
      </w:r>
      <w:r>
        <w:rPr>
          <w:rFonts w:ascii="Times New Roman" w:cs="Times New Roman" w:eastAsia="Times New Roman" w:hAnsi="Times New Roman"/>
          <w:sz w:val="22"/>
          <w:szCs w:val="22"/>
          <w:color w:val="auto"/>
        </w:rPr>
        <w:t>. The Company shall reimburse Employee for reasonable legal fees and expenses incurred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the review and negotiation of this Agreement and its Exhibits such reimbursement not to exceed $50,000.</w:t>
      </w:r>
    </w:p>
    <w:p>
      <w:pPr>
        <w:spacing w:after="0" w:line="14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 D&amp;O</w:t>
      </w:r>
      <w:r>
        <w:rPr>
          <w:rFonts w:ascii="Times New Roman" w:cs="Times New Roman" w:eastAsia="Times New Roman" w:hAnsi="Times New Roman"/>
          <w:sz w:val="22"/>
          <w:szCs w:val="22"/>
          <w:color w:val="auto"/>
        </w:rPr>
        <w:t>. The Employee will be indemnified to the extent permitted by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and the organizational agreements of the Company and its affiliates [and the Indemnification Agreement [to be entered into] between the Company and the Employee] for Employee’s services rendered as an officer and director of the Company and its affiliates and shall be covered by any applicable directors’ and officers’ liability insurance policy(ies) procured by the Company and its affiliates from time to time. Such coverage and indemnification shall continue during the Employment Term and thereafter, while liability may exist, on the same basis as other current and former directors and officers of the Company and its affiliates.</w:t>
      </w:r>
    </w:p>
    <w:p>
      <w:pPr>
        <w:spacing w:after="0" w:line="180" w:lineRule="exact"/>
        <w:rPr>
          <w:rFonts w:ascii="Times New Roman" w:cs="Times New Roman" w:eastAsia="Times New Roman" w:hAnsi="Times New Roman"/>
          <w:sz w:val="22"/>
          <w:szCs w:val="22"/>
          <w:color w:val="auto"/>
        </w:rPr>
      </w:pPr>
    </w:p>
    <w:p>
      <w:pPr>
        <w:ind w:right="20" w:firstLine="656"/>
        <w:spacing w:after="0" w:line="287" w:lineRule="auto"/>
        <w:tabs>
          <w:tab w:leader="none" w:pos="1296"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The Employee’s employment and the Employment Term shall terminate on the first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to occur:</w:t>
      </w:r>
    </w:p>
    <w:p>
      <w:pPr>
        <w:spacing w:after="0" w:line="137" w:lineRule="exact"/>
        <w:rPr>
          <w:rFonts w:ascii="Times New Roman" w:cs="Times New Roman" w:eastAsia="Times New Roman" w:hAnsi="Times New Roman"/>
          <w:sz w:val="22"/>
          <w:szCs w:val="22"/>
          <w:b w:val="1"/>
          <w:bCs w:val="1"/>
          <w:color w:val="auto"/>
        </w:rPr>
      </w:pPr>
    </w:p>
    <w:p>
      <w:pPr>
        <w:jc w:val="both"/>
        <w:ind w:firstLine="1304"/>
        <w:spacing w:after="0" w:line="259" w:lineRule="auto"/>
        <w:tabs>
          <w:tab w:leader="none" w:pos="194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Upon ten (10) days’ prior written notice by the Company to the Employee of a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due to Disability.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have the meaning assigned to such term in Severance Plan. The Employee shall cooperate in all respects with the Company if a question arises as to whether the Employee has become disabled.</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Automatically upon the date of the Employee’s death.</w:t>
      </w:r>
    </w:p>
    <w:p>
      <w:pPr>
        <w:spacing w:after="0" w:line="23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Upon a termination by the Company for Cause.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meaning assigned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in the Severance Plan. Notwithstanding anything to the contrary in the Severance Plan, any determination of Cause shall be made by a resolution approved by a majority of the members of the Board (other than the Employee), provided that no such determination may be made until the Employee has been given written notice detailing the specific Cause event and a period of thirty (30) days following receipt of such notice to present evidence that such event is not Cause, or to cure such event (if susceptible to cure) to the reasonable satisfaction of the Board. Notwithstanding anything to the contrary contained herein or in the Severance Plan, the Employee’s right to cure shall not apply if there are habitual or repeated breaches by the Employee and there has been a previous opportunity to cure. Any notice of a termination for Cause as contemplated above shall be made within ninety (90) days following the date on which the Company first obtains actual knowledge of the circumstances alleged to constitute a Cause event hereunder (it being understood that such circumstances may relate to a period in excess of ninety (90) days or a pattern of behavior that extends beyond a period of ninety (90) days).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71" w:name="page72"/>
    <w:bookmarkEnd w:id="71"/>
    <w:p>
      <w:pPr>
        <w:ind w:left="1940" w:hanging="636"/>
        <w:spacing w:after="0"/>
        <w:tabs>
          <w:tab w:leader="none" w:pos="194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WITHOUT CAUSE</w:t>
      </w:r>
      <w:r>
        <w:rPr>
          <w:rFonts w:ascii="Times New Roman" w:cs="Times New Roman" w:eastAsia="Times New Roman" w:hAnsi="Times New Roman"/>
          <w:sz w:val="21"/>
          <w:szCs w:val="21"/>
          <w:color w:val="auto"/>
        </w:rPr>
        <w:t>. Upon an involuntary termination by the Company (other than for death, Disability,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Cause).</w:t>
      </w:r>
    </w:p>
    <w:p>
      <w:pPr>
        <w:spacing w:after="0" w:line="192" w:lineRule="exact"/>
        <w:rPr>
          <w:sz w:val="20"/>
          <w:szCs w:val="20"/>
          <w:color w:val="auto"/>
        </w:rPr>
      </w:pPr>
    </w:p>
    <w:p>
      <w:pPr>
        <w:jc w:val="both"/>
        <w:ind w:firstLine="1304"/>
        <w:spacing w:after="0" w:line="248"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Upon a termination by the Employee for Good Reason.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meaning assigned to such term in the Severance Plan. Notwithstanding the foregoing, or anything to the contrary in the Severance Plan, in addition to the meaning assigned to such term in the Severance Plan, Good Reason shall also include: (i) in the event of a Change in Control (as defined in the Severance Plan) (A) the Company’s common stock ceasing to be publicly traded or (B) following a Change in Control (as defined in the Severance Plan), the Employee ceases to be Chief Executive Officer and President of the surviving entity in such transaction (including, without limitation, the ultimate parent of such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any case the Employee ceasing to be a member of the Board (or a successor body) shall not constitute Good Reason hereunder if the Employee’s removal is due to an action, rule or requirement of a governmental or regulatory body (including its representative) to which the Company is subject and (ii) any amendment or modification to the Severance Plan that materially reduces the formula for determining the amount of cash severance for which the Employee is eligible under the Severance Plan or otherwise adversely affecting the terms of the Severance Plan applicable to the Employee in a material manner, including, without limitation, the modifications to the Severance Plan that are provided for in this Agreement, in each case, as of the Effective Date. Upon Employee’s timely resignation for Good Reason in accordance with the foregoing and the terms and conditions of this Agreement and the Severance Plan, Employee shall be entitled to benefits under the terms and conditions of the Severance Plan in effect prior to any such amendment or modification.</w:t>
      </w:r>
    </w:p>
    <w:p>
      <w:pPr>
        <w:spacing w:after="0" w:line="182"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4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WITHOUT GOOD REASON</w:t>
      </w:r>
      <w:r>
        <w:rPr>
          <w:rFonts w:ascii="Times New Roman" w:cs="Times New Roman" w:eastAsia="Times New Roman" w:hAnsi="Times New Roman"/>
          <w:sz w:val="22"/>
          <w:szCs w:val="22"/>
          <w:color w:val="auto"/>
        </w:rPr>
        <w:t>. Upon thirty (30) days’ prior written notice by the Employee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the Employee’s voluntary termination of employment without Good Reason (which the Company may, in its sole discretion, make effective earlier than any notice date).</w:t>
      </w:r>
    </w:p>
    <w:p>
      <w:pPr>
        <w:spacing w:after="0" w:line="16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OF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8" w:lineRule="auto"/>
        <w:tabs>
          <w:tab w:leader="none" w:pos="19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ACCRUED OBLIGATIONS. </w:t>
      </w:r>
      <w:r>
        <w:rPr>
          <w:rFonts w:ascii="Times New Roman" w:cs="Times New Roman" w:eastAsia="Times New Roman" w:hAnsi="Times New Roman"/>
          <w:sz w:val="22"/>
          <w:szCs w:val="22"/>
          <w:color w:val="auto"/>
        </w:rPr>
        <w:t>In the event that the Employee’s employment ends for any reason,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or the Employee’s estate, as the case may be, shall be entitled to the Accrued Obligations (as defined in the Severance Plan) which shall be paid within sixty (60) days following termination of employment, or such earlier date as may be required by applicable law.</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SEVERANCE PLAN AND EQUITY AWARDS. </w:t>
      </w:r>
      <w:r>
        <w:rPr>
          <w:rFonts w:ascii="Times New Roman" w:cs="Times New Roman" w:eastAsia="Times New Roman" w:hAnsi="Times New Roman"/>
          <w:sz w:val="22"/>
          <w:szCs w:val="22"/>
          <w:color w:val="auto"/>
        </w:rPr>
        <w:t>The Employee is an Eligible Employee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Severance Plan and shall be eligible for severance benefits pursuant to the terms and conditions of the Severance Plan, subject to the Employee’s compliance with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and continued compliance with the obligations in </w:t>
      </w:r>
      <w:r>
        <w:rPr>
          <w:rFonts w:ascii="Times New Roman" w:cs="Times New Roman" w:eastAsia="Times New Roman" w:hAnsi="Times New Roman"/>
          <w:sz w:val="22"/>
          <w:szCs w:val="22"/>
          <w:u w:val="single" w:color="auto"/>
          <w:color w:val="auto"/>
        </w:rPr>
        <w:t>Sections 9 and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(provided, that</w:t>
      </w:r>
      <w:r>
        <w:rPr>
          <w:rFonts w:ascii="Times New Roman" w:cs="Times New Roman" w:eastAsia="Times New Roman" w:hAnsi="Times New Roman"/>
          <w:sz w:val="22"/>
          <w:szCs w:val="22"/>
          <w:color w:val="auto"/>
        </w:rPr>
        <w:t xml:space="preserve"> the Company shall provide the Employee with written notice of any alleged non-compliance and not less than 10 business days to cure, if curable), and the vesting and payment of the Employee’s equity awards upon Employee’s termination of employment will be governed by Section 5 of the applicable equity award agreement (or any similar provisions) subject to the modifications set forth in this Agreement. This Agreement and the Severance Plan shall each be deemed to be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-824865</wp:posOffset>
            </wp:positionV>
            <wp:extent cx="388302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3883025" cy="14541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72" w:name="page73"/>
    <w:bookmarkEnd w:id="72"/>
    <w:p>
      <w:pPr>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Service Agreement</w:t>
      </w:r>
      <w:r>
        <w:rPr>
          <w:rFonts w:ascii="Times New Roman" w:cs="Times New Roman" w:eastAsia="Times New Roman" w:hAnsi="Times New Roman"/>
          <w:sz w:val="22"/>
          <w:szCs w:val="22"/>
          <w:color w:val="auto"/>
        </w:rPr>
        <w:t>” for purposes of Section 5 of each of the Employee’s equity award agreements, including the Sign-On LTIP Grant and each Target LTIP award.</w:t>
      </w:r>
    </w:p>
    <w:p>
      <w:pPr>
        <w:spacing w:after="0" w:line="149" w:lineRule="exact"/>
        <w:rPr>
          <w:sz w:val="20"/>
          <w:szCs w:val="20"/>
          <w:color w:val="auto"/>
        </w:rPr>
      </w:pPr>
    </w:p>
    <w:p>
      <w:pPr>
        <w:ind w:firstLine="1304"/>
        <w:spacing w:after="0" w:line="287" w:lineRule="auto"/>
        <w:tabs>
          <w:tab w:leader="none" w:pos="19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OBLIGATIONS</w:t>
      </w:r>
      <w:r>
        <w:rPr>
          <w:rFonts w:ascii="Times New Roman" w:cs="Times New Roman" w:eastAsia="Times New Roman" w:hAnsi="Times New Roman"/>
          <w:sz w:val="22"/>
          <w:szCs w:val="22"/>
          <w:color w:val="auto"/>
        </w:rPr>
        <w:t>. Upon any termination of the Employee’s employment with the Company,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shall promptly resign from any position as an officer, director or fiduciary of any Company-related entity.</w:t>
      </w:r>
    </w:p>
    <w:p>
      <w:pPr>
        <w:spacing w:after="0" w:line="13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OR DISABILITY</w:t>
      </w:r>
      <w:r>
        <w:rPr>
          <w:rFonts w:ascii="Times New Roman" w:cs="Times New Roman" w:eastAsia="Times New Roman" w:hAnsi="Times New Roman"/>
          <w:sz w:val="22"/>
          <w:szCs w:val="22"/>
          <w:color w:val="auto"/>
        </w:rPr>
        <w:t>. In the event of the Employee’s death or Disability, in addition to the Accrued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the Company shall pay the Employee a prorated annual incentive bonus otherwise payable under the Company’s applicable annual incentive bonus plan pursuant to which the Employee was eligible to earn a bonus for the year of termination, determined by multiplying the Annual Bonus determined to have been earned by the Employee based on the level of achievement of the applicable performance criteria by a fraction, the numerator of which is the number of days the Employee is employed in the year of termination and the denominator of which is 365, which shall be paid at the same time as the Company’s regularly-scheduled annual incentive bonus payments are made to the Company’s executives, but in no event will such amount be paid later than March 15 of the calendar year following the year Employee’s employment terminates.</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NO MITIGATION; SET-OFFS</w:t>
      </w:r>
      <w:r>
        <w:rPr>
          <w:rFonts w:ascii="Times New Roman" w:cs="Times New Roman" w:eastAsia="Times New Roman" w:hAnsi="Times New Roman"/>
          <w:sz w:val="22"/>
          <w:szCs w:val="22"/>
          <w:color w:val="auto"/>
        </w:rPr>
        <w:t>. Any and all amounts payable and benefits or additional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pursuant to this Agreement and the Severance Plan beyond the Accrued Benefits shall only be payable if the Employee (or his estate, in the case of death) delivers to the Company and does not revoke a general release of claims in favor of the Company substantially in the form of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to the Severance Plan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The Release shall be executed and delivered (and no longer subject to revocation, if applicable) within sixty (60) days following termination. For the avoidance of doubt, each Company equity award that vests in 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and the terms and conditions of the applicable award agreement shall remain outstanding and eligible to vest following the date of termination and shall actually vest and become exercisable (if applicable) and non-forfeitable upon the effectiveness of the Release (and any equity awards intended to be exempt from Code Section 409A as a “short-term deferral” shall be paid within the applicable short-term deferral period). In no event shall the Employee be obligated to seek other employment or take any other action by way of mitigation of the amounts payable to the Employee under any of the provisions of this Agreement, nor shall the amount of any payment hereunder be reduced by any compensation earned by the Employee as a result of employment by a subsequent employer or self-employment. Subject to the provisions of </w:t>
      </w:r>
      <w:r>
        <w:rPr>
          <w:rFonts w:ascii="Times New Roman" w:cs="Times New Roman" w:eastAsia="Times New Roman" w:hAnsi="Times New Roman"/>
          <w:sz w:val="22"/>
          <w:szCs w:val="22"/>
          <w:u w:val="single" w:color="auto"/>
          <w:color w:val="auto"/>
        </w:rPr>
        <w:t>Section 20(b)(v)</w:t>
      </w:r>
      <w:r>
        <w:rPr>
          <w:rFonts w:ascii="Times New Roman" w:cs="Times New Roman" w:eastAsia="Times New Roman" w:hAnsi="Times New Roman"/>
          <w:sz w:val="22"/>
          <w:szCs w:val="22"/>
          <w:color w:val="auto"/>
        </w:rPr>
        <w:t xml:space="preserve"> hereof; the Company’s obligations to pay the Employee amounts hereunder shall be subject to set-off, counterclaim or recoupment of amounts owed by the Employee to the Company or any of its affiliates (to the extent that such set-off, counterclaim or recoupment does not result in a violation of Code Section 409A). Except as otherwise provided in this Section 8, the Severance Plan, the Company’s clawback policy as in effect on the Effective Date, as may be amended or restated, or any other recoupment or clawback policy or program adopted by the Company and applicable to all senior executives of the Company, or as may be otherwise agreed in writing between the parties, the Employee’s incentive compensation (including any equity and/or long-term incentive awards) and severance shall not be subject to forfeiture or recoupment for any other reason (other than forfeiture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73" w:name="page74"/>
    <w:bookmarkEnd w:id="73"/>
    <w:p>
      <w:pPr>
        <w:spacing w:after="0" w:line="271" w:lineRule="auto"/>
        <w:rPr>
          <w:sz w:val="20"/>
          <w:szCs w:val="20"/>
          <w:color w:val="auto"/>
        </w:rPr>
      </w:pPr>
      <w:r>
        <w:rPr>
          <w:rFonts w:ascii="Times New Roman" w:cs="Times New Roman" w:eastAsia="Times New Roman" w:hAnsi="Times New Roman"/>
          <w:sz w:val="22"/>
          <w:szCs w:val="22"/>
          <w:color w:val="auto"/>
        </w:rPr>
        <w:t>lapse in connection with certain terminations of employment and/or the failure to meet the applicable performance goals within the performance period).</w:t>
      </w:r>
    </w:p>
    <w:p>
      <w:pPr>
        <w:spacing w:after="0" w:line="154"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58" w:lineRule="auto"/>
        <w:tabs>
          <w:tab w:leader="none" w:pos="1941"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During the course of the Employee’s employment with the Company,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will have access to Confidential Information. For purposes of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all confidential or proprietary data, information, ideas, concepts, discoveries, trade secrets, inventions (whether or not patentable or reduced to practice), innovations, improvements, know-how, developments, techniques, methods, processes, treatments, specifications, designs,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or any of its affiliates, including, without limitation, any such information relating to or concerning finances, financing sources, acquisitions, acquisition sources, marketing, advertising, transition, promotions, pricing, personnel, operations, customers and tenants (including tenant or mortgagee financial or operational data, or that of any guarantors of such obligations), suppliers, vendors, partners and deal sources and/or competitors. The Employee agrees that the Employee shall not, directly or indirectly, use, make available, sell, disclose or otherwise communicate to any person, other than in the course of the Employee’s assigned duties and for the benefit of the Company, either during the period of the Employee’s employment or at any time thereafter, any Confidential Information or other confidential or proprietary information received from third parties subject to a duty on the Company’s and its subsidiaries’ and affiliates’ part to maintain the confidentiality of such information, and to use such information only for certain limited purposes, in each case, which shall have been obtained by the Employee during the Employee’s employment by the Company (or any predecessor). The foregoing shall not apply to information that (i) was known to the public (or within the Company’s industry) prior to its disclosure to the Employee, (ii) becomes generally known to the public (or within the Company’s industry) subsequent to disclosure to the Employee through no wrongful act of the Employee or any representative of the Employee, or (iii) the Employee is required to disclose by applicable law, regulation or legal process (provided that, except to the extent disclosure by the Company or any of its affiliates is contemplated in connection with a potential Change in Control, the Employee, to the extent legally permitted, provides the Company with prior notice of the contemplated disclosure and cooperates with the Company at its sole expense in seeking a protective order or other appropriate protection of such information). Notwithstanding anything in this Agreement or elsewhere to the contrary, the Employee may disclose documents and information in confidence (x) to an attorney for the purpose of securing legal advice or (y) to people approved in advance and in writing by the Company’s General Counsel, in each case, provided that the Employee instructs any such person not to disclose or use any Confidential Information of the Company for any other purpose, and may use documents and information as reasonably necessary to enforce the Employee’s rights under this Agreement or otherwise. In addition, notwithstanding the generality of the foregoing, nothing in this Agreement is intended to prohibit the Employee from filing a charge with, reporting possible violations to, or participating or cooperating with the Securities and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74" w:name="page75"/>
    <w:bookmarkEnd w:id="74"/>
    <w:p>
      <w:pPr>
        <w:ind w:right="20"/>
        <w:spacing w:after="0" w:line="271" w:lineRule="auto"/>
        <w:rPr>
          <w:sz w:val="20"/>
          <w:szCs w:val="20"/>
          <w:color w:val="auto"/>
        </w:rPr>
      </w:pPr>
      <w:r>
        <w:rPr>
          <w:rFonts w:ascii="Times New Roman" w:cs="Times New Roman" w:eastAsia="Times New Roman" w:hAnsi="Times New Roman"/>
          <w:sz w:val="22"/>
          <w:szCs w:val="22"/>
          <w:color w:val="auto"/>
        </w:rPr>
        <w:t>Commission or any other federal, state or local regulatory body or law enforcement agency including in relation to any whistleblower, anti-discrimination, or anti-retaliation provisions of federal, state or local law or regulation.</w:t>
      </w:r>
    </w:p>
    <w:p>
      <w:pPr>
        <w:spacing w:after="0" w:line="154" w:lineRule="exact"/>
        <w:rPr>
          <w:sz w:val="20"/>
          <w:szCs w:val="20"/>
          <w:color w:val="auto"/>
        </w:rPr>
      </w:pPr>
    </w:p>
    <w:p>
      <w:pPr>
        <w:jc w:val="both"/>
        <w:ind w:firstLine="1304"/>
        <w:spacing w:after="0" w:line="259" w:lineRule="auto"/>
        <w:tabs>
          <w:tab w:leader="none" w:pos="193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NONCOMPETITION</w:t>
      </w:r>
      <w:r>
        <w:rPr>
          <w:rFonts w:ascii="Times New Roman" w:cs="Times New Roman" w:eastAsia="Times New Roman" w:hAnsi="Times New Roman"/>
          <w:sz w:val="21"/>
          <w:szCs w:val="21"/>
          <w:color w:val="auto"/>
        </w:rPr>
        <w:t>. The Employee acknowledges that (i) the Employee shall perform services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unique nature for the Company that are irreplaceable, and that the Employee’s performance of such services to a “</w:t>
      </w:r>
      <w:r>
        <w:rPr>
          <w:rFonts w:ascii="Times New Roman" w:cs="Times New Roman" w:eastAsia="Times New Roman" w:hAnsi="Times New Roman"/>
          <w:sz w:val="21"/>
          <w:szCs w:val="21"/>
          <w:u w:val="single" w:color="auto"/>
          <w:color w:val="auto"/>
        </w:rPr>
        <w:t>Competitive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(as defined below) will result in irreparable harm to the Company, (ii) the Company shall provide the Employee access to Confidential Information which, if disclosed, would unfairly and inappropriately assist in competition against the Company and its affiliates, (iii) in the course of the Employee’s employment by a Competitive Business during the non-compete period set forth herein, the Employee would inevitably use or disclose such Confidential Information, (iv) the Company and its affiliates have substantial relationships with their customers and the Employee shall have access to these customers, (v) the Employee shall be expected to generate goodwill for the Company and its affiliates in the course of the Employee’s employment, (vi) the Company has invested significant time and expense in developing the Confidential Information and goodwill, and (vii) the Company’s operations and the operations upon with the Employee shall work are nationwide in scope. Accordingly, during the Employee’s employment hereunder and for a period of twelve (12) months following a termination of the Employee’s employment for any reason, the Employee agrees that the Employee will not, directly or indirectly, own, manage, operate, control, be employed by (whether as an employee, consultant, independent contractor or otherwise, and whether or not for compensation) or render services to any person, firm, corporation or other entity, in whatever form, engaged in a Competitive Business in the United States. Notwithstanding the foregoing, nothing herein shall prohibit the Employee from being a passive owner of not more than two percent (2%) of the equity securities of a publicly traded corporation engaged in a Competitive Business, so long as the Employee has no active participation in the business of such corporation. For purposes hereof, the term “</w:t>
      </w:r>
      <w:r>
        <w:rPr>
          <w:rFonts w:ascii="Times New Roman" w:cs="Times New Roman" w:eastAsia="Times New Roman" w:hAnsi="Times New Roman"/>
          <w:sz w:val="21"/>
          <w:szCs w:val="21"/>
          <w:u w:val="single" w:color="auto"/>
          <w:color w:val="auto"/>
        </w:rPr>
        <w:t>Competitive Business</w:t>
      </w:r>
      <w:r>
        <w:rPr>
          <w:rFonts w:ascii="Times New Roman" w:cs="Times New Roman" w:eastAsia="Times New Roman" w:hAnsi="Times New Roman"/>
          <w:sz w:val="21"/>
          <w:szCs w:val="21"/>
          <w:color w:val="auto"/>
        </w:rPr>
        <w:t>” shall mean a publicly traded real estate investment trust that is identified by the National Association of Real Estate Investment Trusts as a “mall REIT” or “shopping center REIT” (other than the Company or a surviving or resulting entity upon a Change of Control, or any of their respective affiliates) and the term “</w:t>
      </w:r>
      <w:r>
        <w:rPr>
          <w:rFonts w:ascii="Times New Roman" w:cs="Times New Roman" w:eastAsia="Times New Roman" w:hAnsi="Times New Roman"/>
          <w:sz w:val="21"/>
          <w:szCs w:val="21"/>
          <w:u w:val="single" w:color="auto"/>
          <w:color w:val="auto"/>
        </w:rPr>
        <w:t>Employee’s Termination</w:t>
      </w:r>
      <w:r>
        <w:rPr>
          <w:rFonts w:ascii="Times New Roman" w:cs="Times New Roman" w:eastAsia="Times New Roman" w:hAnsi="Times New Roman"/>
          <w:sz w:val="21"/>
          <w:szCs w:val="21"/>
          <w:color w:val="auto"/>
        </w:rPr>
        <w:t>” shall mean the date the Employee ceases to be employed by the Company for whatever reason, whether voluntarily or involuntarily.</w:t>
      </w:r>
    </w:p>
    <w:p>
      <w:pPr>
        <w:spacing w:after="0" w:line="183" w:lineRule="exact"/>
        <w:rPr>
          <w:rFonts w:ascii="Times New Roman" w:cs="Times New Roman" w:eastAsia="Times New Roman" w:hAnsi="Times New Roman"/>
          <w:sz w:val="21"/>
          <w:szCs w:val="21"/>
          <w:color w:val="auto"/>
        </w:rPr>
      </w:pPr>
    </w:p>
    <w:p>
      <w:pPr>
        <w:jc w:val="both"/>
        <w:ind w:firstLine="1304"/>
        <w:spacing w:after="0" w:line="265" w:lineRule="auto"/>
        <w:tabs>
          <w:tab w:leader="none" w:pos="194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NONSOLICITATION; NONINTERFERENCE</w:t>
      </w:r>
      <w:r>
        <w:rPr>
          <w:rFonts w:ascii="Times New Roman" w:cs="Times New Roman" w:eastAsia="Times New Roman" w:hAnsi="Times New Roman"/>
          <w:sz w:val="21"/>
          <w:szCs w:val="21"/>
          <w:color w:val="auto"/>
        </w:rPr>
        <w:t>. During the Employee’s employment hereunder and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period of twelve (12) months following the Employee’s Termination, the Employee agrees that the Employee shall not, except in the furtherance of the Employee’s duties hereunder, directly or indirectly, individually or on behalf of any other person, firm, corporation or other entity, (i) solicit, aid or induce any person or entity the Employee knows or reasonably should have known to be a customer, tenant or mortgagee (or any person or entity to whom the Company to the Employee’s knowledge (or reasonably should know) has leased property or provided capital, directly or indirectly, within the prior 18 months) of the Company or any of its affiliates to enter into transactions for the purchase, sale, lease, license or financing of mall or shopping center real property then offered by the Company or any of its affiliates from another person, firm, corporation or other entity 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assist or aid any other person or entity in identifying or soliciting any such customer, tenant or counterparty, (ii) solicit, aid or induce any employee, representative or agent of the Company or any of its affiliates with whom the Employee, during the term of his employment had contact or became aware of, or about whom the Employee has trade secret or Confidential Information, to leave such employment or retention or to accept employment with or render services to or with any other person, firm, corporation or other entity unaffiliated with the Company, or hire or retain any such employee, representative or agent, or take any action to materially assist or aid any other person, firm, corporation or other entity in identifying, hiring or soliciting any such employee, representative or agent, or (iii) interfere, or aid or induce any other person or entity in interfering, with the relationship between the Company or any of its affiliates and any person or entity the Employee knows or reasonably should have known to be one of their respective vendors, joint venturers or licensors. An employee, representative or agent shall be deemed covered by this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while so employed or retained and for a period of three (3) months thereafter. Notwithstanding the foregoing, the provisions of this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shall not be violated by general advertising or solicitation not specifically targeted at Company-related persons or entities.</w:t>
      </w:r>
    </w:p>
    <w:p>
      <w:pPr>
        <w:spacing w:after="0" w:line="180" w:lineRule="exact"/>
        <w:rPr>
          <w:sz w:val="20"/>
          <w:szCs w:val="20"/>
          <w:color w:val="auto"/>
        </w:rPr>
      </w:pPr>
    </w:p>
    <w:p>
      <w:pPr>
        <w:jc w:val="both"/>
        <w:ind w:firstLine="1304"/>
        <w:spacing w:after="0" w:line="250" w:lineRule="auto"/>
        <w:tabs>
          <w:tab w:leader="none" w:pos="193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NONDISPARAGEMENT</w:t>
      </w:r>
      <w:r>
        <w:rPr>
          <w:rFonts w:ascii="Times New Roman" w:cs="Times New Roman" w:eastAsia="Times New Roman" w:hAnsi="Times New Roman"/>
          <w:sz w:val="22"/>
          <w:szCs w:val="22"/>
          <w:color w:val="auto"/>
        </w:rPr>
        <w:t>. The Employee agrees not to make negative comments or otherwise disparage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its officers, directors, employees, shareholders, members, agents or products other than in the good faith performance of the Employee’s duties to the Company. The Company agrees to direct the members of its Board and its executive officers not to make negative comments or otherwise disparage the Employee. The foregoing shall not be violated by truthful statements in response to legal process, required governmental testimony or filings, or administrative or arbitral proceedings (including, without limitation, depositions in connection with such proceedings), or statements reasonably made by one party to refute materially false or materially misleading statements made about such party by the other party hereto.</w:t>
      </w:r>
    </w:p>
    <w:p>
      <w:pPr>
        <w:spacing w:after="0" w:line="193"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41"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INVENTIONS</w:t>
      </w:r>
      <w:r>
        <w:rPr>
          <w:rFonts w:ascii="Times New Roman" w:cs="Times New Roman" w:eastAsia="Times New Roman" w:hAnsi="Times New Roman"/>
          <w:sz w:val="21"/>
          <w:szCs w:val="21"/>
          <w:color w:val="auto"/>
        </w:rPr>
        <w:t>. (i) The Employee acknowledges and agrees that all ideas, methods, inventions,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discoveries, improvements, work products, developments, software, know-how, processes, techniques, methods, works of authorship and other work product, whether patentable or unpatentable, (A) that are reduced to practice, created, invented, designed, developed, contributed to, or improved with the use of any resources of the Company or its subsidiaries and/or within the scope of the Employee’s work with the Company or its subsidiaries or that relate to the business, operations or actual or demonstrably anticipated research or development of the Company or its subsidiaries, and that are made or conceived by the Employee, solely or jointly with others, during the period of the Employee’s employment with the Company or its subsidiaries, or</w:t>
      </w:r>
    </w:p>
    <w:p>
      <w:pPr>
        <w:spacing w:after="0" w:line="5" w:lineRule="exact"/>
        <w:rPr>
          <w:rFonts w:ascii="Times New Roman" w:cs="Times New Roman" w:eastAsia="Times New Roman" w:hAnsi="Times New Roman"/>
          <w:sz w:val="21"/>
          <w:szCs w:val="21"/>
          <w:color w:val="auto"/>
        </w:rPr>
      </w:pPr>
    </w:p>
    <w:p>
      <w:pPr>
        <w:jc w:val="both"/>
        <w:ind w:firstLine="8"/>
        <w:spacing w:after="0" w:line="246" w:lineRule="auto"/>
        <w:tabs>
          <w:tab w:leader="none" w:pos="39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suggested by any work that the Employee performs in connection with the Company or its subsidiaries, either while performing the Employee’s duties with the Company or its subsidiaries or on the Employee’s own time, but only insofar as the Inventions are related to the Employee’s work as an employee or other service provider to the Company or its subsidiaries, shall belong exclusively to the Company or its subsidiaries (or a designee), whether or not patent or other applications for intellectual property protection are filed thereon (the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The Employee will keep full and complete written records (the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in the manner prescribed by the Company or its subsidiaries, of all Inventions,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60" w:lineRule="auto"/>
        <w:rPr>
          <w:sz w:val="20"/>
          <w:szCs w:val="20"/>
          <w:color w:val="auto"/>
        </w:rPr>
      </w:pPr>
      <w:r>
        <w:rPr>
          <w:rFonts w:ascii="Times New Roman" w:cs="Times New Roman" w:eastAsia="Times New Roman" w:hAnsi="Times New Roman"/>
          <w:sz w:val="21"/>
          <w:szCs w:val="21"/>
          <w:color w:val="auto"/>
        </w:rPr>
        <w:t>will promptly disclose all Inventions completely and in writing to the Company. The Records shall be the sole and exclusive property of the Company or its subsidiaries, and the Employee will surrender them upon the termination of the Employment Term, or upon request of the Company or any of its subsidiaries. The Employee will assign to the Company or its subsidiaries the Inventions and all patents or other intellectual property rights that may issue thereon in any and all countries, whether during or subsequent to the Employment Term, together with the right to file, in the Employee’s name or in the name of the Company or its subsidiaries (or a designee), applications for patents and equivalent rights (the “</w:t>
      </w:r>
      <w:r>
        <w:rPr>
          <w:rFonts w:ascii="Times New Roman" w:cs="Times New Roman" w:eastAsia="Times New Roman" w:hAnsi="Times New Roman"/>
          <w:sz w:val="21"/>
          <w:szCs w:val="21"/>
          <w:u w:val="single" w:color="auto"/>
          <w:color w:val="auto"/>
        </w:rPr>
        <w:t>Applications</w:t>
      </w:r>
      <w:r>
        <w:rPr>
          <w:rFonts w:ascii="Times New Roman" w:cs="Times New Roman" w:eastAsia="Times New Roman" w:hAnsi="Times New Roman"/>
          <w:sz w:val="21"/>
          <w:szCs w:val="21"/>
          <w:color w:val="auto"/>
        </w:rPr>
        <w:t>”). The Employee will, at any time during and subsequent to the Employment Term, make such applications, sign such papers, take all rightful oaths, and perform all other acts as may be requested from time to time by the Company or its subsidiaries to perfect, record, enforce, protect, patent or register the Company’s (or a subsidiary’s) rights in the Inventions, all without additional compensation to the Employee from the Company or its subsidiaries. The Employee will also execute assignments to the Company or its subsidiaries (or a designee) of the Applications, and give the Company, its subsidiaries and their attorneys all reasonable assistance (including the giving of testimony) to obtain the Inventions for the Company’s (or a subsidiary’s) benefit, all without additional compensation to the Employee from the Company or its subsidiaries, but entirely at the expense of the Company or its subsidiaries.</w:t>
      </w:r>
    </w:p>
    <w:p>
      <w:pPr>
        <w:spacing w:after="0" w:line="177" w:lineRule="exact"/>
        <w:rPr>
          <w:sz w:val="20"/>
          <w:szCs w:val="20"/>
          <w:color w:val="auto"/>
        </w:rPr>
      </w:pPr>
    </w:p>
    <w:p>
      <w:pPr>
        <w:jc w:val="both"/>
        <w:ind w:firstLine="1952"/>
        <w:spacing w:after="0" w:line="260" w:lineRule="auto"/>
        <w:tabs>
          <w:tab w:leader="none" w:pos="25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Inventions will be deemed Work for Hire, as such term is defined under the copyright laws of the United States, on behalf of the Company or its subsidiaries, and the Employee agrees that the Company or any of its subsidiaries will be the sole owner of the Inventions, and all underlying rights therein, in all media now known or hereinafter devised, throughout the universe and in perpetuity without any further obligations to the Employee. If the Inventions, or any portion thereof, are deemed not to be Work for Hire, or the rights in such Inventions do not otherwise automatically vest in the Company or any of its subsidiaries, the Employee hereby irrevocably conveys, transfers and assigns to the Company or its subsidiaries, all rights, in all media now known or hereinafter devised, throughout the universe and in perpetuity, in and to the Inventions, including, without limitation, all of the Employee’s right, title and interest in the copyrights (and all renewals, revivals and extensions thereof)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Employee hereby waives any so-called “moral rights” with respect to the Inventions. To the extent that the Employee has any rights in the results and proceeds of the Employee’s service to the Company or its subsidiaries that cannot be assigned in the manner described herein, the Employee agrees to unconditionally waive the enforcement of such rights. The Employee hereby waives any and all currently existing and future monetary rights in and to the Inventions and all patents and other registrations for intellectual property that may issue thereon, including, without limitation, any rights that would otherwise accrue to the Employee’s benefit by virtue of the Employee being an employee of or other service provider to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77" w:name="page78"/>
    <w:bookmarkEnd w:id="77"/>
    <w:p>
      <w:pPr>
        <w:jc w:val="both"/>
        <w:ind w:firstLine="1304"/>
        <w:spacing w:after="0" w:line="250" w:lineRule="auto"/>
        <w:tabs>
          <w:tab w:leader="none" w:pos="194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RETURN OF COMPANY PROPERTY</w:t>
      </w:r>
      <w:r>
        <w:rPr>
          <w:rFonts w:ascii="Times New Roman" w:cs="Times New Roman" w:eastAsia="Times New Roman" w:hAnsi="Times New Roman"/>
          <w:sz w:val="22"/>
          <w:szCs w:val="22"/>
          <w:color w:val="auto"/>
        </w:rPr>
        <w:t>. On the date of the Employee’s Termination (or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thereto at the Company’s reasonable request), the Employee shall return all property belonging to the Company or its affiliates (including, but not limited to, any Company-provided laptops, computers, cell phones, wireless electronic mail devices or other equipment, or documents and property belonging to the Company). Notwithstanding anything in this Agreement or anywhere to the contrary, the Employee may retain, and use appropriately: (i) the Employee’s rolodex and similar address books (and electronic equivalent) provided that such items only include contact information and (ii) documents and information relating to the Employee’s personal rights and obligations.</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REASONABLENESS OF COVENANTS</w:t>
      </w:r>
      <w:r>
        <w:rPr>
          <w:rFonts w:ascii="Times New Roman" w:cs="Times New Roman" w:eastAsia="Times New Roman" w:hAnsi="Times New Roman"/>
          <w:sz w:val="22"/>
          <w:szCs w:val="22"/>
          <w:color w:val="auto"/>
        </w:rPr>
        <w:t>. In signing this Agreement, the Employee gives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assurance that the Employee has carefully read and considered all of the terms and conditions of this Agreement, including the restraints imposed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The Employee agrees that these restraints are necessary for the reasonable and proper protection of the Company and its affiliates and their Confidential Information and that each and every one of the restraints is reasonable in respect of subject matter, length of time and geographic area, and that these restraints, individually or in the aggregate, will not prevent the Employee from obtaining other suitable employment during the period in which the Employee is bound by the restraints. The Employee acknowledges that each of these covenants has a unique, very substantial and immeasurable value to the Company and its affiliates and that the Employee has sufficient assets and skills to provide a livelihood while such covenants remain in force. The Employee further covenants that the Employee will not challenge the reasonableness or enforceability of any of the covenants set forth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It is also agreed that each of the Company’s affiliates will have the right to seek to enforce all of the Employee’s obligations to that affiliate under this Agreement, including without limitation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19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REFORMATION</w:t>
      </w:r>
      <w:r>
        <w:rPr>
          <w:rFonts w:ascii="Times New Roman" w:cs="Times New Roman" w:eastAsia="Times New Roman" w:hAnsi="Times New Roman"/>
          <w:sz w:val="22"/>
          <w:szCs w:val="22"/>
          <w:color w:val="auto"/>
        </w:rPr>
        <w:t>. If it is determined by a court of competent jurisdiction in any state that any restriction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is excessive in duration or scope or is unreasonable or unenforceable under applicable law, it is the intention of the parties that such restriction may be modified or amended by the court to render it enforceable to the maximum extent permitted by the laws of that state.</w:t>
      </w:r>
    </w:p>
    <w:p>
      <w:pPr>
        <w:spacing w:after="0" w:line="175"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3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TOLLING</w:t>
      </w:r>
      <w:r>
        <w:rPr>
          <w:rFonts w:ascii="Times New Roman" w:cs="Times New Roman" w:eastAsia="Times New Roman" w:hAnsi="Times New Roman"/>
          <w:sz w:val="22"/>
          <w:szCs w:val="22"/>
          <w:color w:val="auto"/>
        </w:rPr>
        <w:t>. In the event of any violation of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9(c)</w:t>
      </w:r>
      <w:r>
        <w:rPr>
          <w:rFonts w:ascii="Times New Roman" w:cs="Times New Roman" w:eastAsia="Times New Roman" w:hAnsi="Times New Roman"/>
          <w:sz w:val="22"/>
          <w:szCs w:val="22"/>
          <w:color w:val="auto"/>
        </w:rPr>
        <w:t>, the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acknowledges and agrees that the post termination restrictions contained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be extended by a period of time equal to the period of such violation, it being the intention of the parties hereto that the running of the applicable post termination restriction period shall be tolled during any period of such violation.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SURVIVAL OF PROVISIONS</w:t>
      </w:r>
      <w:r>
        <w:rPr>
          <w:rFonts w:ascii="Times New Roman" w:cs="Times New Roman" w:eastAsia="Times New Roman" w:hAnsi="Times New Roman"/>
          <w:sz w:val="22"/>
          <w:szCs w:val="22"/>
          <w:color w:val="auto"/>
        </w:rPr>
        <w:t>. The obligations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survive the termination or expiration of the Employment Term and the Employee’s employment with the Company and shall be fully enforceable thereafter.</w:t>
      </w:r>
    </w:p>
    <w:p>
      <w:pPr>
        <w:spacing w:after="0" w:line="179"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Upon receipt of reasonable written request from the Company (including outside counsel),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agrees that (a) while employed by the Company and, for one year thereafter, the Employee will respond and provide information with regard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8" w:right="339" w:bottom="1440" w:gutter="0" w:footer="0" w:header="0"/>
        </w:sectPr>
      </w:pPr>
    </w:p>
    <w:bookmarkStart w:id="78" w:name="page79"/>
    <w:bookmarkEnd w:id="78"/>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matters in which the Employee has knowledge as a result of the Employee’s employment with the Company, and (b) while employed by the Company and thereafter will provide reasonable assistance to the Company, its affiliates and their respective representatives in defense of all claims that may be made against the Company or its affiliates, and will reasonably assist the Company and its affiliates in the prosecution of all claims that may be made by the Company or its affiliates, to the extent that such claims may relate to the period of the Employee’s employment with the Company and does not unreasonably interfere with the Employee’s subsequent employment or self-employment. The Employee agrees to promptly inform the Company if the Employee becomes aware of any lawsuit involving such claims that may be filed or threatened against the Company or its affiliates. The Employee also agrees to promptly inform the Company (to the extent that the Employee is legally permitted to do so) if the Employee is asked to assist in any investigation of the Company or its affiliates (or their actions), regardless of whether a lawsuit or other proceeding has then been filed against the Company or its affiliates with respect to such investigation, and shall not do so unless legally required. Upon presentation of appropriate documentation, the Company shall pay or reimburse the Employee for all reasonable out-of-pocket travel, duplicating or telephonic expenses incurred by the Employee in complying with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and, after the Employment Term, the Company shall pay the Employee a daily fee, in an amount (rounded down to the nearest whole cent) determined by dividing the Employee’s Base Salary as in effect on the date of termination by 100, for services rendered by the Employee in complying with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provided that no such payment shall be required by the Company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during any period in which severance is being paid to the Employee pursuant to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hereof and the Severance Plan, or for any time Employee is or could be required to expend in order to comply with a subpoena, regardless of whether a subpoena is issued (including, without limitation, time spent testifying and any associated waiting and travel time).</w:t>
      </w:r>
    </w:p>
    <w:p>
      <w:pPr>
        <w:spacing w:after="0" w:line="193" w:lineRule="exact"/>
        <w:rPr>
          <w:sz w:val="20"/>
          <w:szCs w:val="20"/>
          <w:color w:val="auto"/>
        </w:rPr>
      </w:pPr>
    </w:p>
    <w:p>
      <w:pPr>
        <w:jc w:val="both"/>
        <w:ind w:firstLine="656"/>
        <w:spacing w:after="0" w:line="248" w:lineRule="auto"/>
        <w:tabs>
          <w:tab w:leader="none" w:pos="1284"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EQUITABLE RELIEF AND OTHER REMEDIES</w:t>
      </w:r>
      <w:r>
        <w:rPr>
          <w:rFonts w:ascii="Times New Roman" w:cs="Times New Roman" w:eastAsia="Times New Roman" w:hAnsi="Times New Roman"/>
          <w:sz w:val="22"/>
          <w:szCs w:val="22"/>
          <w:color w:val="auto"/>
        </w:rPr>
        <w:t>. The Employee acknowledges and agrees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Company’s remedies at law for a breach or threatened breach of any of the provisions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hereof would be inadequate and, in recognition of this fact, the Employee agrees that, in the event of such a breach or threatened breach, in addition to any remedies at law, the Company shall be entitled to seek equitable relief in the form of specific performance, a temporary restraining order, a temporary or permanent injunction or any other equitable remedy which may then be available, without the necessity of showing actual monetary damages or the posting of a bond or other security. In the event of a material violation by the Employee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hereof, any severance being paid to the Employee pursuant to this Agreement or otherwise shall immediately cease; provided that Employee shall first be provided the opportunity of not less than ten (10) business days to promptly cure any violation reasonably determined by the Company to be curable following written notice from the Company.</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9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ASSIGNMENTS</w:t>
      </w:r>
      <w:r>
        <w:rPr>
          <w:rFonts w:ascii="Times New Roman" w:cs="Times New Roman" w:eastAsia="Times New Roman" w:hAnsi="Times New Roman"/>
          <w:sz w:val="22"/>
          <w:szCs w:val="22"/>
          <w:color w:val="auto"/>
        </w:rPr>
        <w:t>. This Agreement is personal to each of the parties hereto. Except as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hereof, no party may assign or delegate any rights or obligations hereunder without first obtaining the written consent of the other party hereto. The Company may assign this Agreement to any successor to all or substantially all of the business and/or assets of the Company; provided that the Company shall require such successor to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63" w:lineRule="auto"/>
        <w:rPr>
          <w:sz w:val="20"/>
          <w:szCs w:val="20"/>
          <w:color w:val="auto"/>
        </w:rPr>
      </w:pPr>
      <w:r>
        <w:rPr>
          <w:rFonts w:ascii="Times New Roman" w:cs="Times New Roman" w:eastAsia="Times New Roman" w:hAnsi="Times New Roman"/>
          <w:sz w:val="21"/>
          <w:szCs w:val="21"/>
          <w:color w:val="auto"/>
        </w:rPr>
        <w:t>expressly assume and agree to perform this Agreement in the same manner and to the same extent that the Company would be required to perform it if no such succession had taken place. As used in this Agreement,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the Company and any successor to its business and/or assets, which assumes and agrees to perform the duties and obligations of the Company under this Agreement by operation of law or otherwise. In the event of the Employee’s death or a judicial determination of the Employee’s incapacity, references in this Agreement to the Employee shall be deemed, where appropriate, to be references to the Employee’s heir(s), beneficiar(ies), executor(s) or other legal representative(s), the intent of the foregoing being that amounts payable to Employee will be paid to his heir(s), beneficiar(ies), executor(s) or other legal representative(s).</w:t>
      </w:r>
    </w:p>
    <w:p>
      <w:pPr>
        <w:spacing w:after="0" w:line="169" w:lineRule="exact"/>
        <w:rPr>
          <w:sz w:val="20"/>
          <w:szCs w:val="20"/>
          <w:color w:val="auto"/>
        </w:rPr>
      </w:pPr>
    </w:p>
    <w:p>
      <w:pPr>
        <w:jc w:val="both"/>
        <w:ind w:firstLine="656"/>
        <w:spacing w:after="0" w:line="254" w:lineRule="auto"/>
        <w:tabs>
          <w:tab w:leader="none" w:pos="129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For purposes of this Agreement, notices and all other communications provided for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in writing and shall 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Employee: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 the address (or to the email address or facsimile number)</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shown in the books and records of the Company.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Macerich Company.</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401 Wilshire Boulevard, Suite 700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Santa Monica, CA 90401</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Board of Directors</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boardofdirectors@macerich.com</w:t>
      </w:r>
    </w:p>
    <w:p>
      <w:pPr>
        <w:spacing w:after="0" w:line="19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or to such other address as either party may have furnished to the other in writing in accordance herewith, except that notices of change of address shall be effective only upon receipt.</w:t>
      </w:r>
    </w:p>
    <w:p>
      <w:pPr>
        <w:spacing w:after="0" w:line="154" w:lineRule="exact"/>
        <w:rPr>
          <w:sz w:val="20"/>
          <w:szCs w:val="20"/>
          <w:color w:val="auto"/>
        </w:rPr>
      </w:pPr>
    </w:p>
    <w:p>
      <w:pPr>
        <w:jc w:val="both"/>
        <w:ind w:firstLine="656"/>
        <w:spacing w:after="0" w:line="258" w:lineRule="auto"/>
        <w:tabs>
          <w:tab w:leader="none" w:pos="129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HEADINGS; INCONSISTENCY</w:t>
      </w:r>
      <w:r>
        <w:rPr>
          <w:rFonts w:ascii="Times New Roman" w:cs="Times New Roman" w:eastAsia="Times New Roman" w:hAnsi="Times New Roman"/>
          <w:sz w:val="22"/>
          <w:szCs w:val="22"/>
          <w:color w:val="auto"/>
        </w:rPr>
        <w:t>. The section headings used in this Agreement are included solely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convenience and shall not affect, or be used in connection with, the interpretation of this Agreement. In the event of any inconsistency between the terms of this Agreement and any form, award, plan or policy of the Company, the terms of this Agreement shall govern and control.</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9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The provisions of this Agreement shall be deemed severable. The invalidity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unenforceability of any provision of this Agreement in any jurisdiction shall not affect the validity, legality or enforceability of the remainder of this Agreement in such jurisdiction or the validity, legality or enforceability of any provision of this Agreement in 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80" w:name="page81"/>
    <w:bookmarkEnd w:id="80"/>
    <w:p>
      <w:pPr>
        <w:spacing w:after="0" w:line="271" w:lineRule="auto"/>
        <w:rPr>
          <w:sz w:val="20"/>
          <w:szCs w:val="20"/>
          <w:color w:val="auto"/>
        </w:rPr>
      </w:pPr>
      <w:r>
        <w:rPr>
          <w:rFonts w:ascii="Times New Roman" w:cs="Times New Roman" w:eastAsia="Times New Roman" w:hAnsi="Times New Roman"/>
          <w:sz w:val="22"/>
          <w:szCs w:val="22"/>
          <w:color w:val="auto"/>
        </w:rPr>
        <w:t>other jurisdiction, it being intended that all rights and obligations of the parties hereunder shall be enforceable to the fullest extent permitted by applicable law.</w:t>
      </w:r>
    </w:p>
    <w:p>
      <w:pPr>
        <w:spacing w:after="0" w:line="154" w:lineRule="exact"/>
        <w:rPr>
          <w:sz w:val="20"/>
          <w:szCs w:val="20"/>
          <w:color w:val="auto"/>
        </w:rPr>
      </w:pPr>
    </w:p>
    <w:p>
      <w:pPr>
        <w:jc w:val="both"/>
        <w:ind w:firstLine="656"/>
        <w:spacing w:after="0" w:line="265" w:lineRule="auto"/>
        <w:tabs>
          <w:tab w:leader="none" w:pos="1296" w:val="left"/>
        </w:tabs>
        <w:numPr>
          <w:ilvl w:val="1"/>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an original but all of which together will constitute one and the same instrument. Signatures delivered by facsimile (including, without limitation, by “pdf’) shall be deemed effective for all purposes.</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96" w:val="left"/>
        </w:tabs>
        <w:numPr>
          <w:ilvl w:val="1"/>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JURISDICTION</w:t>
      </w:r>
      <w:r>
        <w:rPr>
          <w:rFonts w:ascii="Times New Roman" w:cs="Times New Roman" w:eastAsia="Times New Roman" w:hAnsi="Times New Roman"/>
          <w:sz w:val="21"/>
          <w:szCs w:val="21"/>
          <w:color w:val="auto"/>
        </w:rPr>
        <w:t>. This Agreement, the rights and obligations of the parties hereto,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claims or disputes relating thereto, shall be governed by and construed in accordance with the laws of the State of Texas, without regard to the choice of law provisions thereof. Each of the parties agrees that any dispute between the parties shall be resolved only in the courts of the State of Texas or the United States District Court for the Northern District of Texas and the appellate courts having jurisdiction of appeals in such courts. In that context, and without limiting the generality of the foregoing, each of the parties hereto irrevocably and unconditionally (a) submits in any proceeding relating to this Agreement or the Employee’s employment by the Company or any affiliate, or for the recognition and enforcement of any judgment in respect thereof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to the exclusive jurisdiction of the courts of the State of Texas, the court of the United States of America for the Northern District of Texas, and appellate courts having jurisdiction of appeals from any of the foregoing, and agrees that all claims in respect of any such Proceeding shall be heard and determined in such Texas State court or, to the extent permitted by law, in such federal court, (b) consents that any such Proceeding may and shall be brought in such courts and waives any objection that the Employee or the Company may now or thereafter have to the venue or jurisdiction of any such Proceeding in any such court or that such Proceeding was brought in an inconvenient court and agrees not to plead or claim the same,</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59" w:lineRule="auto"/>
        <w:tabs>
          <w:tab w:leader="none" w:pos="30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waives all right to trial by jury in any Proceeding (whether based on contract, tort or otherwise) arising out of or relating to this Agreement or the Employee’s employment by the Company or any affiliate of the Company, or the Employee’s or the Company’s performance under, or the enforcement of, this Agreement, (d) agrees that service of process in any such Proceeding may be effected by mailing a copy of such process by registered or certified mail (or any substantially similar form of mail), postage prepaid, to such party at the Employee’s or the Company’s address as provided in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hereof, and (e) agrees that nothing in this Agreement shall affect the right to effect service of process in any other manner permitted by the laws of the State of Texas. The parties acknowledge and agree that in connection with any dispute hereunder, each party shall pay all of its own costs and expenses, including, without limitation, its own legal fees and expenses. To the extent that any plan subject to the requirements of the Employee Retirement Income Security Act of 1974, as amended (“ERISA”) or Company policy or agreement reserves to the Company the right to make discretionary determinations that are not subject to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review, such provisions shall have no force or effect and the review of such Company determinations shall be subject to a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standard of review.”</w:t>
      </w:r>
    </w:p>
    <w:p>
      <w:pPr>
        <w:spacing w:after="0" w:line="169" w:lineRule="exact"/>
        <w:rPr>
          <w:rFonts w:ascii="Times New Roman" w:cs="Times New Roman" w:eastAsia="Times New Roman" w:hAnsi="Times New Roman"/>
          <w:sz w:val="21"/>
          <w:szCs w:val="21"/>
          <w:color w:val="auto"/>
        </w:rPr>
      </w:pPr>
    </w:p>
    <w:p>
      <w:pPr>
        <w:jc w:val="both"/>
        <w:ind w:firstLine="656"/>
        <w:spacing w:after="0" w:line="265" w:lineRule="auto"/>
        <w:tabs>
          <w:tab w:leader="none" w:pos="1296"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No provision of this Agreement may be modified, waived or discharged unless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modification or discharge is agreed to in writing and signed by the Employee and such officer or director of the Company as may be designated by the Board.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50" w:lineRule="auto"/>
        <w:rPr>
          <w:sz w:val="20"/>
          <w:szCs w:val="20"/>
          <w:color w:val="auto"/>
        </w:rPr>
      </w:pPr>
      <w:r>
        <w:rPr>
          <w:rFonts w:ascii="Times New Roman" w:cs="Times New Roman" w:eastAsia="Times New Roman" w:hAnsi="Times New Roman"/>
          <w:sz w:val="22"/>
          <w:szCs w:val="22"/>
          <w:color w:val="auto"/>
        </w:rPr>
        <w:t>As of the Effective Date, this Agreement, together with the Severance Plan and all exhibits hereto sets forth the entire agreement of the parties hereto in respect of the subject matter contained herein and supersedes any and all prior agreements or understandings between the Employee and the Company with respect to the subject matter hereof. No agreements or representations, oral or otherwise, express or implied, with respect to the subject matter hereof have been made by either party which are not expressly set forth in this Agreement. In the event of any inconsistency between the terms of this Agreement and the terms of any other plan, program, agreement or arrangement of the Company or any of its affiliates, the terms of this Agreement shall, to the extent more favorable to the Employee, control.</w:t>
      </w:r>
    </w:p>
    <w:p>
      <w:pPr>
        <w:spacing w:after="0" w:line="176" w:lineRule="exact"/>
        <w:rPr>
          <w:sz w:val="20"/>
          <w:szCs w:val="20"/>
          <w:color w:val="auto"/>
        </w:rPr>
      </w:pPr>
    </w:p>
    <w:p>
      <w:pPr>
        <w:jc w:val="both"/>
        <w:ind w:firstLine="656"/>
        <w:spacing w:after="0" w:line="252" w:lineRule="auto"/>
        <w:tabs>
          <w:tab w:leader="none" w:pos="1296"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w:t>
      </w:r>
      <w:r>
        <w:rPr>
          <w:rFonts w:ascii="Times New Roman" w:cs="Times New Roman" w:eastAsia="Times New Roman" w:hAnsi="Times New Roman"/>
          <w:sz w:val="22"/>
          <w:szCs w:val="22"/>
          <w:color w:val="auto"/>
        </w:rPr>
        <w:t>. The Employee represents and warrants to the Company that (a) the Employee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 right to enter into this Agreement and to perform all of the obligations on the Employee’s part to be performed hereunder in accordance with its terms, and (b) the Employee is not a party to any agreement or understanding, written or oral, and is not subject to any restriction, which, in either case, could prevent the Employee from entering into this Agreement or performing the Employee’s material duties and obligations hereunder. The Company represents and warrants to the Employee that it is duly authorized to enter into this Agreement and to perform all of its obligations in accordance with its terms.</w:t>
      </w:r>
    </w:p>
    <w:p>
      <w:pPr>
        <w:spacing w:after="0" w:line="174"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b w:val="1"/>
          <w:bCs w:val="1"/>
          <w:color w:val="auto"/>
        </w:rPr>
      </w:pPr>
    </w:p>
    <w:p>
      <w:pPr>
        <w:ind w:firstLine="1304"/>
        <w:spacing w:after="0" w:line="299" w:lineRule="auto"/>
        <w:tabs>
          <w:tab w:leader="none" w:pos="1941"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WITHHOLDING</w:t>
      </w:r>
      <w:r>
        <w:rPr>
          <w:rFonts w:ascii="Times New Roman" w:cs="Times New Roman" w:eastAsia="Times New Roman" w:hAnsi="Times New Roman"/>
          <w:sz w:val="21"/>
          <w:szCs w:val="21"/>
          <w:color w:val="auto"/>
        </w:rPr>
        <w:t>. The Company shall withhold from any and all amounts payable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otherwise such federal, state and local taxes as may be required to be withheld pursuant to any applicable law or regulation.</w:t>
      </w:r>
    </w:p>
    <w:p>
      <w:pPr>
        <w:spacing w:after="0" w:line="127"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 COMPLIANCE</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intent of the parties is that payments and benefits under this Agreement be exempt from or comply with Code Section 409A and, accordingly, to the maximum extent permitted, this Agreement shall be interpreted to be exempt from, or, to the extent not exempt, in compliance therewith. If the Company or Employee in good faith believes that any provision of this Agreement contravenes any regulations or guidance promulgated under Section 409A of the Code or would cause any Person to be subject to additional taxes, interest or penalties under Section 409A of the Code, then the Committee and Executive shall in good faith discuss modifications to this Agreement and attempt to modify such provision in order to comply with Code Section 409A, provided such modification shall be made in good faith and shall, to the maximum extent reasonably possible, maintain the original intent and economic benefit to the Employee and the Company of the applicable provision without violating the provisions of Code Section 409A. In no event shall the Company be liable for any additional tax, interest or penalty that may be imposed on the Employee by Code Section 409A, or damages for failing to comply with Code Section 409A, in each case, for any payments made consistent with the terms of this Agreement.</w:t>
      </w:r>
    </w:p>
    <w:p>
      <w:pPr>
        <w:spacing w:after="0" w:line="188"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6"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employment shall not be deemed to have occurred for purposes of any provision of this Agreement providing for the payment of any amount or benefit upon or following a termination of employment unless such termination is also</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82" w:name="page83"/>
    <w:bookmarkEnd w:id="8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Employee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the Employee, and (B) the date of the Employee’s death, to the extent required under Code Section 409A. Upon the expiration of the foregoing delay period, all payments and benefits delayed pursuant to this </w:t>
      </w:r>
      <w:r>
        <w:rPr>
          <w:rFonts w:ascii="Times New Roman" w:cs="Times New Roman" w:eastAsia="Times New Roman" w:hAnsi="Times New Roman"/>
          <w:sz w:val="22"/>
          <w:szCs w:val="22"/>
          <w:u w:val="single" w:color="auto"/>
          <w:color w:val="auto"/>
        </w:rPr>
        <w:t>Section 20(b)(ii)</w:t>
      </w:r>
      <w:r>
        <w:rPr>
          <w:rFonts w:ascii="Times New Roman" w:cs="Times New Roman" w:eastAsia="Times New Roman" w:hAnsi="Times New Roman"/>
          <w:sz w:val="22"/>
          <w:szCs w:val="22"/>
          <w:color w:val="auto"/>
        </w:rPr>
        <w:t xml:space="preserve"> (whether they would have otherwise been payable in a single sum or in installments in the absence of such delay) shall be paid or reimbursed to the Employee in a lump sum, and all remaining payments and benefits due under this Agreement shall be paid or provided in accordance with the normal payment dates specified for them herein. The Employee shall have no duties following any termination of Employee’s employment hereunder that are inconsistent with the Employee having had a “separation from service” on or before his employment hereunder.</w:t>
      </w:r>
    </w:p>
    <w:p>
      <w:pPr>
        <w:spacing w:after="0" w:line="203" w:lineRule="exact"/>
        <w:rPr>
          <w:sz w:val="20"/>
          <w:szCs w:val="20"/>
          <w:color w:val="auto"/>
        </w:rPr>
      </w:pPr>
    </w:p>
    <w:p>
      <w:pPr>
        <w:jc w:val="both"/>
        <w:ind w:firstLine="1952"/>
        <w:spacing w:after="0" w:line="251" w:lineRule="auto"/>
        <w:tabs>
          <w:tab w:leader="none" w:pos="259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reimbursements or other in-kind benefits for the Employee constitute “nonqualified deferred compensation” for purposes of Code Section 409A, (A) all expenses or other reimbursements hereunder shall be made on or prior to the last day of the taxable year following the taxable year in which such expenses were incurred by the Employee, (B) any right to reimbursement or in-kind benefits shall not be subject to liquidation or exchange for another benefit, and (C) no such reimbursement, expenses eligible for reimbursement, or in- kind benefits provided in any taxable year shall in any way affect the expenses eligible for reimbursement, or in-kind benefits to be provided, in any other taxable year.</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Code Section 409A, the Employee’s right to receive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and if such payment constitutes “nonqualified deferred compensation” for purposes of Code Section 409A and such payment period spans two calendar years, such payment shall be made in the second calendar year.</w:t>
      </w:r>
    </w:p>
    <w:p>
      <w:pPr>
        <w:spacing w:after="0" w:line="18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in no event shall any payment or benefit under this Agreement that constitutes “nonqualified deferred compensation” for purposes of Code Section 409A be subject to offset by any other amount unless otherwise permitted by Code Section 409A.</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date first written above.</w:t>
      </w:r>
    </w:p>
    <w:p>
      <w:pPr>
        <w:sectPr>
          <w:pgSz w:w="11900" w:h="16838" w:orient="portrait"/>
          <w:cols w:equalWidth="0" w:num="1">
            <w:col w:w="9600"/>
          </w:cols>
          <w:pgMar w:left="980" w:top="1418" w:right="1319" w:bottom="1440" w:gutter="0" w:footer="0" w:header="0"/>
        </w:sectPr>
      </w:pPr>
    </w:p>
    <w:p>
      <w:pPr>
        <w:spacing w:after="0" w:line="2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THE MACERICH COMPANY</w:t>
      </w:r>
    </w:p>
    <w:p>
      <w:pPr>
        <w:spacing w:after="0" w:line="200" w:lineRule="exact"/>
        <w:rPr>
          <w:sz w:val="20"/>
          <w:szCs w:val="20"/>
          <w:color w:val="auto"/>
        </w:rPr>
      </w:pPr>
    </w:p>
    <w:p>
      <w:pPr>
        <w:spacing w:after="0" w:line="35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By:/s/ Ann C.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158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2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Ann C. Menard</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Title: Senior Executive Vice President, Chief Legal Officer and Secretary</w:t>
      </w: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-13970</wp:posOffset>
            </wp:positionV>
            <wp:extent cx="10896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Jackson Hsieh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600"/>
          </w:cols>
          <w:pgMar w:left="980" w:top="1418" w:right="131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THE MACERICH COMPANY</w:t>
      </w:r>
    </w:p>
    <w:p>
      <w:pPr>
        <w:jc w:val="center"/>
        <w:spacing w:after="0" w:line="193" w:lineRule="auto"/>
        <w:rPr>
          <w:sz w:val="20"/>
          <w:szCs w:val="20"/>
          <w:color w:val="auto"/>
        </w:rPr>
      </w:pPr>
      <w:r>
        <w:rPr>
          <w:rFonts w:ascii="Calibri" w:cs="Calibri" w:eastAsia="Calibri" w:hAnsi="Calibri"/>
          <w:sz w:val="22"/>
          <w:szCs w:val="22"/>
          <w:b w:val="1"/>
          <w:bCs w:val="1"/>
          <w:color w:val="auto"/>
        </w:rPr>
        <w:t>SIGN-ON LTIP INDUCEMENT UNIT AWARD AGREEMENT</w:t>
      </w:r>
    </w:p>
    <w:p>
      <w:pPr>
        <w:jc w:val="center"/>
        <w:spacing w:after="0" w:line="191" w:lineRule="auto"/>
        <w:rPr>
          <w:sz w:val="20"/>
          <w:szCs w:val="20"/>
          <w:color w:val="auto"/>
        </w:rPr>
      </w:pPr>
      <w:r>
        <w:rPr>
          <w:rFonts w:ascii="Calibri" w:cs="Calibri" w:eastAsia="Calibri" w:hAnsi="Calibri"/>
          <w:sz w:val="22"/>
          <w:szCs w:val="22"/>
          <w:b w:val="1"/>
          <w:bCs w:val="1"/>
          <w:color w:val="auto"/>
        </w:rPr>
        <w:t>(Service-Based)</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44" w:lineRule="auto"/>
        <w:rPr>
          <w:sz w:val="20"/>
          <w:szCs w:val="20"/>
          <w:color w:val="auto"/>
        </w:rPr>
      </w:pPr>
      <w:r>
        <w:rPr>
          <w:rFonts w:ascii="Calibri" w:cs="Calibri" w:eastAsia="Calibri" w:hAnsi="Calibri"/>
          <w:sz w:val="21"/>
          <w:szCs w:val="21"/>
          <w:color w:val="auto"/>
        </w:rPr>
        <w:t>This SIGN-ON LTIP INDUCEMENT UNIT AWARD AGREEMENT (Service-Based) (this “</w:t>
      </w:r>
      <w:r>
        <w:rPr>
          <w:rFonts w:ascii="Calibri" w:cs="Calibri" w:eastAsia="Calibri" w:hAnsi="Calibri"/>
          <w:sz w:val="21"/>
          <w:szCs w:val="21"/>
          <w:u w:val="single" w:color="auto"/>
          <w:color w:val="auto"/>
        </w:rPr>
        <w:t>Agreement</w:t>
      </w:r>
      <w:r>
        <w:rPr>
          <w:rFonts w:ascii="Calibri" w:cs="Calibri" w:eastAsia="Calibri" w:hAnsi="Calibri"/>
          <w:sz w:val="21"/>
          <w:szCs w:val="21"/>
          <w:color w:val="auto"/>
        </w:rPr>
        <w:t>” or “</w:t>
      </w:r>
      <w:r>
        <w:rPr>
          <w:rFonts w:ascii="Calibri" w:cs="Calibri" w:eastAsia="Calibri" w:hAnsi="Calibri"/>
          <w:sz w:val="21"/>
          <w:szCs w:val="21"/>
          <w:u w:val="single" w:color="auto"/>
          <w:color w:val="auto"/>
        </w:rPr>
        <w:t>Award Agreement</w:t>
      </w:r>
      <w:r>
        <w:rPr>
          <w:rFonts w:ascii="Calibri" w:cs="Calibri" w:eastAsia="Calibri" w:hAnsi="Calibri"/>
          <w:sz w:val="21"/>
          <w:szCs w:val="21"/>
          <w:color w:val="auto"/>
        </w:rPr>
        <w:t xml:space="preserve">”) is made as of the date set forth on </w:t>
      </w:r>
      <w:r>
        <w:rPr>
          <w:rFonts w:ascii="Calibri" w:cs="Calibri" w:eastAsia="Calibri" w:hAnsi="Calibri"/>
          <w:sz w:val="21"/>
          <w:szCs w:val="21"/>
          <w:u w:val="single" w:color="auto"/>
          <w:color w:val="auto"/>
        </w:rPr>
        <w:t>Schedule A</w:t>
      </w:r>
      <w:r>
        <w:rPr>
          <w:rFonts w:ascii="Calibri" w:cs="Calibri" w:eastAsia="Calibri" w:hAnsi="Calibri"/>
          <w:sz w:val="21"/>
          <w:szCs w:val="21"/>
          <w:color w:val="auto"/>
        </w:rPr>
        <w:t xml:space="preserve"> hereto between The Macerich Company, a Maryland corporaton (the “</w:t>
      </w:r>
      <w:r>
        <w:rPr>
          <w:rFonts w:ascii="Calibri" w:cs="Calibri" w:eastAsia="Calibri" w:hAnsi="Calibri"/>
          <w:sz w:val="21"/>
          <w:szCs w:val="21"/>
          <w:u w:val="single" w:color="auto"/>
          <w:color w:val="auto"/>
        </w:rPr>
        <w:t>Company</w:t>
      </w:r>
      <w:r>
        <w:rPr>
          <w:rFonts w:ascii="Calibri" w:cs="Calibri" w:eastAsia="Calibri" w:hAnsi="Calibri"/>
          <w:sz w:val="21"/>
          <w:szCs w:val="21"/>
          <w:color w:val="auto"/>
        </w:rPr>
        <w:t>”), its subsidiary The Macerich Partnership, L.P., a Delaware limited partnership and the entty through which the Company conducts substantally all of its operatons (the “</w:t>
      </w:r>
      <w:r>
        <w:rPr>
          <w:rFonts w:ascii="Calibri" w:cs="Calibri" w:eastAsia="Calibri" w:hAnsi="Calibri"/>
          <w:sz w:val="21"/>
          <w:szCs w:val="21"/>
          <w:u w:val="single" w:color="auto"/>
          <w:color w:val="auto"/>
        </w:rPr>
        <w:t>Partnership</w:t>
      </w:r>
      <w:r>
        <w:rPr>
          <w:rFonts w:ascii="Calibri" w:cs="Calibri" w:eastAsia="Calibri" w:hAnsi="Calibri"/>
          <w:sz w:val="21"/>
          <w:szCs w:val="21"/>
          <w:color w:val="auto"/>
        </w:rPr>
        <w:t xml:space="preserve">”), and the party listed on </w:t>
      </w:r>
      <w:r>
        <w:rPr>
          <w:rFonts w:ascii="Calibri" w:cs="Calibri" w:eastAsia="Calibri" w:hAnsi="Calibri"/>
          <w:sz w:val="21"/>
          <w:szCs w:val="21"/>
          <w:u w:val="single" w:color="auto"/>
          <w:color w:val="auto"/>
        </w:rPr>
        <w:t>Schedule A</w:t>
      </w:r>
      <w:r>
        <w:rPr>
          <w:rFonts w:ascii="Calibri" w:cs="Calibri" w:eastAsia="Calibri" w:hAnsi="Calibri"/>
          <w:sz w:val="21"/>
          <w:szCs w:val="21"/>
          <w:color w:val="auto"/>
        </w:rPr>
        <w:t xml:space="preserve"> (the “</w:t>
      </w:r>
      <w:r>
        <w:rPr>
          <w:rFonts w:ascii="Calibri" w:cs="Calibri" w:eastAsia="Calibri" w:hAnsi="Calibri"/>
          <w:sz w:val="21"/>
          <w:szCs w:val="21"/>
          <w:u w:val="single" w:color="auto"/>
          <w:color w:val="auto"/>
        </w:rPr>
        <w:t>Grantee</w:t>
      </w:r>
      <w:r>
        <w:rPr>
          <w:rFonts w:ascii="Calibri" w:cs="Calibri" w:eastAsia="Calibri" w:hAnsi="Calibri"/>
          <w:sz w:val="21"/>
          <w:szCs w:val="21"/>
          <w:color w:val="auto"/>
        </w:rPr>
        <w:t>”).</w:t>
      </w: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22"/>
          <w:szCs w:val="22"/>
          <w:u w:val="single" w:color="auto"/>
          <w:color w:val="auto"/>
        </w:rPr>
        <w:t>RECITALS</w:t>
      </w:r>
    </w:p>
    <w:p>
      <w:pPr>
        <w:spacing w:after="0" w:line="204" w:lineRule="exact"/>
        <w:rPr>
          <w:sz w:val="20"/>
          <w:szCs w:val="20"/>
          <w:color w:val="auto"/>
        </w:rPr>
      </w:pPr>
    </w:p>
    <w:p>
      <w:pPr>
        <w:ind w:left="1100" w:hanging="444"/>
        <w:spacing w:after="0"/>
        <w:tabs>
          <w:tab w:leader="none" w:pos="1100" w:val="left"/>
        </w:tabs>
        <w:numPr>
          <w:ilvl w:val="0"/>
          <w:numId w:val="84"/>
        </w:numPr>
        <w:rPr>
          <w:rFonts w:ascii="Calibri" w:cs="Calibri" w:eastAsia="Calibri" w:hAnsi="Calibri"/>
          <w:sz w:val="22"/>
          <w:szCs w:val="22"/>
          <w:color w:val="auto"/>
        </w:rPr>
      </w:pPr>
      <w:r>
        <w:rPr>
          <w:rFonts w:ascii="Calibri" w:cs="Calibri" w:eastAsia="Calibri" w:hAnsi="Calibri"/>
          <w:sz w:val="22"/>
          <w:szCs w:val="22"/>
          <w:color w:val="auto"/>
        </w:rPr>
        <w:t>The Grantee is a key employee of the Company or one of its Subsidiaries or afliates and provides services to the</w:t>
      </w:r>
    </w:p>
    <w:p>
      <w:pPr>
        <w:spacing w:after="0" w:line="227" w:lineRule="auto"/>
        <w:rPr>
          <w:rFonts w:ascii="Calibri" w:cs="Calibri" w:eastAsia="Calibri" w:hAnsi="Calibri"/>
          <w:sz w:val="22"/>
          <w:szCs w:val="22"/>
          <w:color w:val="auto"/>
        </w:rPr>
      </w:pPr>
      <w:r>
        <w:rPr>
          <w:rFonts w:ascii="Calibri" w:cs="Calibri" w:eastAsia="Calibri" w:hAnsi="Calibri"/>
          <w:sz w:val="22"/>
          <w:szCs w:val="22"/>
          <w:color w:val="auto"/>
        </w:rPr>
        <w:t>Partnership.</w:t>
      </w:r>
    </w:p>
    <w:p>
      <w:pPr>
        <w:spacing w:after="0" w:line="230" w:lineRule="exact"/>
        <w:rPr>
          <w:rFonts w:ascii="Calibri" w:cs="Calibri" w:eastAsia="Calibri" w:hAnsi="Calibri"/>
          <w:sz w:val="22"/>
          <w:szCs w:val="22"/>
          <w:color w:val="auto"/>
        </w:rPr>
      </w:pPr>
    </w:p>
    <w:p>
      <w:pPr>
        <w:jc w:val="both"/>
        <w:ind w:firstLine="656"/>
        <w:spacing w:after="0" w:line="230" w:lineRule="auto"/>
        <w:tabs>
          <w:tab w:leader="none" w:pos="1060" w:val="left"/>
        </w:tabs>
        <w:numPr>
          <w:ilvl w:val="0"/>
          <w:numId w:val="84"/>
        </w:numPr>
        <w:rPr>
          <w:rFonts w:ascii="Calibri" w:cs="Calibri" w:eastAsia="Calibri" w:hAnsi="Calibri"/>
          <w:sz w:val="22"/>
          <w:szCs w:val="22"/>
          <w:color w:val="auto"/>
        </w:rPr>
      </w:pPr>
      <w:r>
        <w:rPr>
          <w:rFonts w:ascii="Calibri" w:cs="Calibri" w:eastAsia="Calibri" w:hAnsi="Calibri"/>
          <w:sz w:val="22"/>
          <w:szCs w:val="22"/>
          <w:color w:val="auto"/>
        </w:rPr>
        <w:t>Sign-On LTIP Units (as defned herein) have been awarded by the Board of Directors of the Company (the “</w:t>
      </w:r>
      <w:r>
        <w:rPr>
          <w:rFonts w:ascii="Calibri" w:cs="Calibri" w:eastAsia="Calibri" w:hAnsi="Calibri"/>
          <w:sz w:val="22"/>
          <w:szCs w:val="22"/>
          <w:u w:val="single" w:color="auto"/>
          <w:color w:val="auto"/>
        </w:rPr>
        <w:t>Board</w:t>
      </w:r>
      <w:r>
        <w:rPr>
          <w:rFonts w:ascii="Calibri" w:cs="Calibri" w:eastAsia="Calibri" w:hAnsi="Calibri"/>
          <w:sz w:val="22"/>
          <w:szCs w:val="22"/>
          <w:color w:val="auto"/>
        </w:rPr>
        <w:t>”) pursuant to authority set forth in the Commitee’s charter, including authority to make grants of equity interests in the Partnership. This Agreement evidences an award to the Grantee (this “</w:t>
      </w:r>
      <w:r>
        <w:rPr>
          <w:rFonts w:ascii="Calibri" w:cs="Calibri" w:eastAsia="Calibri" w:hAnsi="Calibri"/>
          <w:sz w:val="22"/>
          <w:szCs w:val="22"/>
          <w:u w:val="single" w:color="auto"/>
          <w:color w:val="auto"/>
        </w:rPr>
        <w:t>Award</w:t>
      </w:r>
      <w:r>
        <w:rPr>
          <w:rFonts w:ascii="Calibri" w:cs="Calibri" w:eastAsia="Calibri" w:hAnsi="Calibri"/>
          <w:sz w:val="22"/>
          <w:szCs w:val="22"/>
          <w:color w:val="auto"/>
        </w:rPr>
        <w:t>”), which is subject to the terms and conditons set forth herein. This Award consttutes a non-plan “inducement award,” as contemplated by New York Stock Exchange Listed Company Manual Rule 303A.08, and is therefore not made pursuant to The Macerich Company 2003 Equity Incentve Plan, or any successor equity plan (as such plan may be amended, modifed or supplemented from tme to tme, collectvely the “</w:t>
      </w:r>
      <w:r>
        <w:rPr>
          <w:rFonts w:ascii="Calibri" w:cs="Calibri" w:eastAsia="Calibri" w:hAnsi="Calibri"/>
          <w:sz w:val="22"/>
          <w:szCs w:val="22"/>
          <w:u w:val="single" w:color="auto"/>
          <w:color w:val="auto"/>
        </w:rPr>
        <w:t>Stock</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Plan</w:t>
      </w:r>
      <w:r>
        <w:rPr>
          <w:rFonts w:ascii="Calibri" w:cs="Calibri" w:eastAsia="Calibri" w:hAnsi="Calibri"/>
          <w:sz w:val="22"/>
          <w:szCs w:val="22"/>
          <w:color w:val="auto"/>
        </w:rPr>
        <w:t>”) or the Company’s Long-Term Incentve Plan (the “</w:t>
      </w:r>
      <w:r>
        <w:rPr>
          <w:rFonts w:ascii="Calibri" w:cs="Calibri" w:eastAsia="Calibri" w:hAnsi="Calibri"/>
          <w:sz w:val="22"/>
          <w:szCs w:val="22"/>
          <w:u w:val="single" w:color="auto"/>
          <w:color w:val="auto"/>
        </w:rPr>
        <w:t>LTIP</w:t>
      </w:r>
      <w:r>
        <w:rPr>
          <w:rFonts w:ascii="Calibri" w:cs="Calibri" w:eastAsia="Calibri" w:hAnsi="Calibri"/>
          <w:sz w:val="22"/>
          <w:szCs w:val="22"/>
          <w:color w:val="auto"/>
        </w:rPr>
        <w:t>”). Nonetheless, the terms and provisions of the 2003 Plan and the LTIP are hereby incorporated into this Agreement by this reference, as though fully set forth herein, as if this Award were granted pursuant to the 2003 Plan and the LTIP. Unless the context herein otherwise requires, the terms defned in the 2003 Plan and the LTIP shall have the same meanings herein.</w:t>
      </w:r>
    </w:p>
    <w:p>
      <w:pPr>
        <w:spacing w:after="0" w:line="220" w:lineRule="exact"/>
        <w:rPr>
          <w:rFonts w:ascii="Calibri" w:cs="Calibri" w:eastAsia="Calibri" w:hAnsi="Calibri"/>
          <w:sz w:val="22"/>
          <w:szCs w:val="22"/>
          <w:color w:val="auto"/>
        </w:rPr>
      </w:pPr>
    </w:p>
    <w:p>
      <w:pPr>
        <w:jc w:val="both"/>
        <w:ind w:firstLine="656"/>
        <w:spacing w:after="0" w:line="231" w:lineRule="auto"/>
        <w:tabs>
          <w:tab w:leader="none" w:pos="1094" w:val="left"/>
        </w:tabs>
        <w:numPr>
          <w:ilvl w:val="0"/>
          <w:numId w:val="84"/>
        </w:numPr>
        <w:rPr>
          <w:rFonts w:ascii="Calibri" w:cs="Calibri" w:eastAsia="Calibri" w:hAnsi="Calibri"/>
          <w:sz w:val="22"/>
          <w:szCs w:val="22"/>
          <w:color w:val="auto"/>
        </w:rPr>
      </w:pPr>
      <w:r>
        <w:rPr>
          <w:rFonts w:ascii="Calibri" w:cs="Calibri" w:eastAsia="Calibri" w:hAnsi="Calibri"/>
          <w:sz w:val="22"/>
          <w:szCs w:val="22"/>
          <w:color w:val="auto"/>
        </w:rPr>
        <w:t xml:space="preserve">The Grantee was selected by the Board to receive this Award as one of a select group of highly compensated or management employees who, through the efectve executon of their assigned dutes and responsibilites, are in a positon to have a direct and measurable impact on the Company’s long-term fnancial results. Efectve as of the grant date specifed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the Board awarded to the Grantee the number of Sign-On LTIP Units (as defned herein) set forth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w:t>
      </w:r>
    </w:p>
    <w:p>
      <w:pPr>
        <w:spacing w:after="0" w:line="209"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auto"/>
        </w:rPr>
        <w:t>NOW, THEREFORE</w:t>
      </w:r>
      <w:r>
        <w:rPr>
          <w:rFonts w:ascii="Calibri" w:cs="Calibri" w:eastAsia="Calibri" w:hAnsi="Calibri"/>
          <w:sz w:val="22"/>
          <w:szCs w:val="22"/>
          <w:color w:val="auto"/>
        </w:rPr>
        <w:t>, the Company, the Partnership and the Grantee agree as follows:</w:t>
      </w:r>
    </w:p>
    <w:p>
      <w:pPr>
        <w:spacing w:after="0" w:line="228" w:lineRule="exact"/>
        <w:rPr>
          <w:sz w:val="20"/>
          <w:szCs w:val="20"/>
          <w:color w:val="auto"/>
        </w:rPr>
      </w:pPr>
    </w:p>
    <w:p>
      <w:pPr>
        <w:jc w:val="both"/>
        <w:ind w:firstLine="656"/>
        <w:spacing w:after="0" w:line="229" w:lineRule="auto"/>
        <w:tabs>
          <w:tab w:leader="none" w:pos="1284" w:val="left"/>
        </w:tabs>
        <w:numPr>
          <w:ilvl w:val="0"/>
          <w:numId w:val="85"/>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Administraton</w:t>
      </w:r>
      <w:r>
        <w:rPr>
          <w:rFonts w:ascii="Calibri" w:cs="Calibri" w:eastAsia="Calibri" w:hAnsi="Calibri"/>
          <w:sz w:val="22"/>
          <w:szCs w:val="22"/>
          <w:u w:val="single" w:color="auto"/>
          <w:color w:val="auto"/>
        </w:rPr>
        <w: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 LTIP and this Award shall be administered by the Compensaton Commitee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“Commitee”), which in the administraton of this Award and the LTIP shall have all the powers and authority it has in the administraton of the Stock Plan, as set forth in the Stock Plan. The Commitee may from tme to tme adopt any rules or</w:t>
      </w:r>
    </w:p>
    <w:p>
      <w:pPr>
        <w:sectPr>
          <w:pgSz w:w="11900" w:h="16838" w:orient="portrait"/>
          <w:cols w:equalWidth="0" w:num="1">
            <w:col w:w="11240"/>
          </w:cols>
          <w:pgMar w:left="320" w:top="1418" w:right="339" w:bottom="1440" w:gutter="0" w:footer="0" w:header="0"/>
        </w:sectPr>
      </w:pPr>
    </w:p>
    <w:bookmarkStart w:id="85" w:name="page86"/>
    <w:bookmarkEnd w:id="85"/>
    <w:p>
      <w:pPr>
        <w:spacing w:after="0" w:line="229" w:lineRule="auto"/>
        <w:rPr>
          <w:sz w:val="20"/>
          <w:szCs w:val="20"/>
          <w:color w:val="auto"/>
        </w:rPr>
      </w:pPr>
      <w:r>
        <w:rPr>
          <w:rFonts w:ascii="Calibri" w:cs="Calibri" w:eastAsia="Calibri" w:hAnsi="Calibri"/>
          <w:sz w:val="22"/>
          <w:szCs w:val="22"/>
          <w:color w:val="auto"/>
        </w:rPr>
        <w:t>procedures it deems necessary or desirable for the proper and efcient administraton of this Award and the LTIP, consistent with the terms hereof and of the Stock Plan.</w:t>
      </w:r>
    </w:p>
    <w:p>
      <w:pPr>
        <w:spacing w:after="0" w:line="217" w:lineRule="exact"/>
        <w:rPr>
          <w:sz w:val="20"/>
          <w:szCs w:val="20"/>
          <w:color w:val="auto"/>
        </w:rPr>
      </w:pPr>
    </w:p>
    <w:p>
      <w:pPr>
        <w:ind w:firstLine="656"/>
        <w:spacing w:after="0" w:line="235" w:lineRule="auto"/>
        <w:tabs>
          <w:tab w:leader="none" w:pos="1284" w:val="left"/>
        </w:tabs>
        <w:numPr>
          <w:ilvl w:val="0"/>
          <w:numId w:val="86"/>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Defnitons</w:t>
      </w:r>
      <w:r>
        <w:rPr>
          <w:rFonts w:ascii="Calibri" w:cs="Calibri" w:eastAsia="Calibri" w:hAnsi="Calibri"/>
          <w:sz w:val="22"/>
          <w:szCs w:val="22"/>
          <w:u w:val="single" w:color="auto"/>
          <w:color w:val="auto"/>
        </w:rPr>
        <w: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Capitalized terms used herein without defnitons shall have the meanings given to those terms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 Stock Plan. In additon, as used herein:</w:t>
      </w:r>
    </w:p>
    <w:p>
      <w:pPr>
        <w:spacing w:after="0" w:line="217" w:lineRule="exact"/>
        <w:rPr>
          <w:sz w:val="20"/>
          <w:szCs w:val="20"/>
          <w:color w:val="auto"/>
        </w:rPr>
      </w:pPr>
    </w:p>
    <w:p>
      <w:pPr>
        <w:ind w:firstLine="567"/>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Cause</w:t>
      </w:r>
      <w:r>
        <w:rPr>
          <w:rFonts w:ascii="Calibri" w:cs="Calibri" w:eastAsia="Calibri" w:hAnsi="Calibri"/>
          <w:sz w:val="22"/>
          <w:szCs w:val="22"/>
          <w:color w:val="auto"/>
        </w:rPr>
        <w:t>” means “Cause” as defned in the Severance Arrangement, as modifed pursuant to the terms and conditons of Grantee’s Service Agreement.</w:t>
      </w:r>
    </w:p>
    <w:p>
      <w:pPr>
        <w:spacing w:after="0" w:line="206"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Change of Control</w:t>
      </w:r>
      <w:r>
        <w:rPr>
          <w:rFonts w:ascii="Calibri" w:cs="Calibri" w:eastAsia="Calibri" w:hAnsi="Calibri"/>
          <w:sz w:val="22"/>
          <w:szCs w:val="22"/>
          <w:color w:val="auto"/>
        </w:rPr>
        <w:t>” means any of the following:</w:t>
      </w:r>
    </w:p>
    <w:p>
      <w:pPr>
        <w:spacing w:after="0" w:line="214" w:lineRule="exact"/>
        <w:rPr>
          <w:sz w:val="20"/>
          <w:szCs w:val="20"/>
          <w:color w:val="auto"/>
        </w:rPr>
      </w:pPr>
    </w:p>
    <w:p>
      <w:pPr>
        <w:jc w:val="both"/>
        <w:ind w:firstLine="1304"/>
        <w:spacing w:after="0" w:line="232" w:lineRule="auto"/>
        <w:tabs>
          <w:tab w:leader="none" w:pos="1935" w:val="left"/>
        </w:tabs>
        <w:numPr>
          <w:ilvl w:val="0"/>
          <w:numId w:val="87"/>
        </w:numPr>
        <w:rPr>
          <w:rFonts w:ascii="Calibri" w:cs="Calibri" w:eastAsia="Calibri" w:hAnsi="Calibri"/>
          <w:sz w:val="22"/>
          <w:szCs w:val="22"/>
          <w:color w:val="auto"/>
        </w:rPr>
      </w:pPr>
      <w:r>
        <w:rPr>
          <w:rFonts w:ascii="Calibri" w:cs="Calibri" w:eastAsia="Calibri" w:hAnsi="Calibri"/>
          <w:sz w:val="22"/>
          <w:szCs w:val="22"/>
          <w:color w:val="auto"/>
        </w:rPr>
        <w:t>The acquisiton by any Person of benefcial ownership (within the meaning of Rule 13d-3 promulgated under the Exchange Act) of 33% or more of either (A) the then-outstanding shares of common stock of the Company (the “</w:t>
      </w:r>
      <w:r>
        <w:rPr>
          <w:rFonts w:ascii="Calibri" w:cs="Calibri" w:eastAsia="Calibri" w:hAnsi="Calibri"/>
          <w:sz w:val="22"/>
          <w:szCs w:val="22"/>
          <w:u w:val="single" w:color="auto"/>
          <w:color w:val="auto"/>
        </w:rPr>
        <w:t>Outstanding Company Common Stock</w:t>
      </w:r>
      <w:r>
        <w:rPr>
          <w:rFonts w:ascii="Calibri" w:cs="Calibri" w:eastAsia="Calibri" w:hAnsi="Calibri"/>
          <w:sz w:val="22"/>
          <w:szCs w:val="22"/>
          <w:color w:val="auto"/>
        </w:rPr>
        <w:t>”) or (B) the combined votng power of the then-outstanding votng securites of the Company enttled to vote generally in the electon of directors (the “</w:t>
      </w:r>
      <w:r>
        <w:rPr>
          <w:rFonts w:ascii="Calibri" w:cs="Calibri" w:eastAsia="Calibri" w:hAnsi="Calibri"/>
          <w:sz w:val="22"/>
          <w:szCs w:val="22"/>
          <w:u w:val="single" w:color="auto"/>
          <w:color w:val="auto"/>
        </w:rPr>
        <w:t>Outstanding Company Votng Securites</w:t>
      </w:r>
      <w:r>
        <w:rPr>
          <w:rFonts w:ascii="Calibri" w:cs="Calibri" w:eastAsia="Calibri" w:hAnsi="Calibri"/>
          <w:sz w:val="22"/>
          <w:szCs w:val="22"/>
          <w:color w:val="auto"/>
        </w:rPr>
        <w:t>”); provided, however, that, for purposes of this defniton, the following acquisitons shall not consttute a Change of Control: (i) any acquisiton directly from the Company, (ii) any acquisiton by the Company, (iii) any acquisiton by any employee beneft plan (or related trust) sponsored or maintained by the Company or any afliate of the Company or successor or (iv) any acquisiton by any entty pursuant to a transacton that complies with (c)(i), (c)(ii) and (c)(iii) below;</w:t>
      </w:r>
    </w:p>
    <w:p>
      <w:pPr>
        <w:spacing w:after="0" w:line="218" w:lineRule="exact"/>
        <w:rPr>
          <w:rFonts w:ascii="Calibri" w:cs="Calibri" w:eastAsia="Calibri" w:hAnsi="Calibri"/>
          <w:sz w:val="22"/>
          <w:szCs w:val="22"/>
          <w:color w:val="auto"/>
        </w:rPr>
      </w:pPr>
    </w:p>
    <w:p>
      <w:pPr>
        <w:jc w:val="both"/>
        <w:ind w:firstLine="1304"/>
        <w:spacing w:after="0" w:line="230" w:lineRule="auto"/>
        <w:tabs>
          <w:tab w:leader="none" w:pos="1932" w:val="left"/>
        </w:tabs>
        <w:numPr>
          <w:ilvl w:val="0"/>
          <w:numId w:val="87"/>
        </w:numPr>
        <w:rPr>
          <w:rFonts w:ascii="Calibri" w:cs="Calibri" w:eastAsia="Calibri" w:hAnsi="Calibri"/>
          <w:sz w:val="22"/>
          <w:szCs w:val="22"/>
          <w:color w:val="auto"/>
        </w:rPr>
      </w:pPr>
      <w:r>
        <w:rPr>
          <w:rFonts w:ascii="Calibri" w:cs="Calibri" w:eastAsia="Calibri" w:hAnsi="Calibri"/>
          <w:sz w:val="22"/>
          <w:szCs w:val="22"/>
          <w:color w:val="auto"/>
        </w:rPr>
        <w:t>Individuals who, as of the date hereof, consttute the Board (the “</w:t>
      </w:r>
      <w:r>
        <w:rPr>
          <w:rFonts w:ascii="Calibri" w:cs="Calibri" w:eastAsia="Calibri" w:hAnsi="Calibri"/>
          <w:sz w:val="22"/>
          <w:szCs w:val="22"/>
          <w:u w:val="single" w:color="auto"/>
          <w:color w:val="auto"/>
        </w:rPr>
        <w:t>Incumbent Board</w:t>
      </w:r>
      <w:r>
        <w:rPr>
          <w:rFonts w:ascii="Calibri" w:cs="Calibri" w:eastAsia="Calibri" w:hAnsi="Calibri"/>
          <w:sz w:val="22"/>
          <w:szCs w:val="22"/>
          <w:color w:val="auto"/>
        </w:rPr>
        <w:t>”) cease for any reason to consttute at least a majority of the Board; provided, however, that any individual becoming a director subsequent to the date hereof whose electon, or nominaton for electon by the Company’s stockholders, was approved by a vote of at least two-thirds of the directors then comprising the Incumbent Board (including for these purposes, the new members whose electon or nominaton was so approved, without countng the member and his predecessor twice) shall be considered as though such individual were a member of the Incumbent Board, but excluding, for this purpose, any such individual whose inital assumpton of ofce occurs as a result of an actual or threatened electon contest with respect to the electon or removal of directors or other actual or threatened solicitaton of proxies or consents by or on behalf of a Person other than the Board;</w:t>
      </w:r>
    </w:p>
    <w:p>
      <w:pPr>
        <w:spacing w:after="0" w:line="222" w:lineRule="exact"/>
        <w:rPr>
          <w:rFonts w:ascii="Calibri" w:cs="Calibri" w:eastAsia="Calibri" w:hAnsi="Calibri"/>
          <w:sz w:val="22"/>
          <w:szCs w:val="22"/>
          <w:color w:val="auto"/>
        </w:rPr>
      </w:pPr>
    </w:p>
    <w:p>
      <w:pPr>
        <w:jc w:val="both"/>
        <w:ind w:firstLine="1304"/>
        <w:spacing w:after="0" w:line="243" w:lineRule="auto"/>
        <w:tabs>
          <w:tab w:leader="none" w:pos="1937" w:val="left"/>
        </w:tabs>
        <w:numPr>
          <w:ilvl w:val="0"/>
          <w:numId w:val="87"/>
        </w:numPr>
        <w:rPr>
          <w:rFonts w:ascii="Calibri" w:cs="Calibri" w:eastAsia="Calibri" w:hAnsi="Calibri"/>
          <w:sz w:val="21"/>
          <w:szCs w:val="21"/>
          <w:color w:val="auto"/>
        </w:rPr>
      </w:pPr>
      <w:r>
        <w:rPr>
          <w:rFonts w:ascii="Calibri" w:cs="Calibri" w:eastAsia="Calibri" w:hAnsi="Calibri"/>
          <w:sz w:val="21"/>
          <w:szCs w:val="21"/>
          <w:color w:val="auto"/>
        </w:rPr>
        <w:t>Consummaton of a reorganizaton, merger, statutory share exchange or consolidaton or similar corporate transacton involving the Company or any of its subsidiaries, a sale or other dispositon of all or substantally all of the assets of the Company, or the acquisiton of assets or stock of another entty by the Company or any of its subsidiaries (each, a “</w:t>
      </w:r>
      <w:r>
        <w:rPr>
          <w:rFonts w:ascii="Calibri" w:cs="Calibri" w:eastAsia="Calibri" w:hAnsi="Calibri"/>
          <w:sz w:val="21"/>
          <w:szCs w:val="21"/>
          <w:u w:val="single" w:color="auto"/>
          <w:color w:val="auto"/>
        </w:rPr>
        <w:t>Business</w:t>
      </w:r>
      <w:r>
        <w:rPr>
          <w:rFonts w:ascii="Calibri" w:cs="Calibri" w:eastAsia="Calibri" w:hAnsi="Calibri"/>
          <w:sz w:val="21"/>
          <w:szCs w:val="21"/>
          <w:color w:val="auto"/>
        </w:rPr>
        <w:t xml:space="preserve"> </w:t>
      </w:r>
      <w:r>
        <w:rPr>
          <w:rFonts w:ascii="Calibri" w:cs="Calibri" w:eastAsia="Calibri" w:hAnsi="Calibri"/>
          <w:sz w:val="21"/>
          <w:szCs w:val="21"/>
          <w:u w:val="single" w:color="auto"/>
          <w:color w:val="auto"/>
        </w:rPr>
        <w:t>Combinaton</w:t>
      </w:r>
      <w:r>
        <w:rPr>
          <w:rFonts w:ascii="Calibri" w:cs="Calibri" w:eastAsia="Calibri" w:hAnsi="Calibri"/>
          <w:sz w:val="21"/>
          <w:szCs w:val="21"/>
          <w:color w:val="auto"/>
        </w:rPr>
        <w:t>”), in each case unless, following such Business Combinaton, (i) all or substantally all of the individuals and enttes that were the benefcial owners of the Outstanding Company Common Stock and the Outstanding Company Votng Securites immediately prior to such Business Combinaton benefcially own, directly or indirectly, more than 60% of the then-outstanding shares of common stock and the combined votng power of the then-outstanding votng securites enttled to vote generally in the electon of directors, as the case may be, of the entty resultng from such Business Combinaton (including, without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240"/>
          </w:cols>
          <w:pgMar w:left="320" w:top="1407" w:right="339" w:bottom="1440" w:gutter="0" w:footer="0" w:header="0"/>
        </w:sectPr>
      </w:pPr>
    </w:p>
    <w:bookmarkStart w:id="86" w:name="page87"/>
    <w:bookmarkEnd w:id="86"/>
    <w:p>
      <w:pPr>
        <w:jc w:val="both"/>
        <w:spacing w:after="0" w:line="231" w:lineRule="auto"/>
        <w:rPr>
          <w:sz w:val="20"/>
          <w:szCs w:val="20"/>
          <w:color w:val="auto"/>
        </w:rPr>
      </w:pPr>
      <w:r>
        <w:rPr>
          <w:rFonts w:ascii="Calibri" w:cs="Calibri" w:eastAsia="Calibri" w:hAnsi="Calibri"/>
          <w:sz w:val="22"/>
          <w:szCs w:val="22"/>
          <w:color w:val="auto"/>
        </w:rPr>
        <w:t>limitaton, an entty that, as a result of such transacton, owns the Company or all or substantally all of the Company’s assets directly or through one or more subsidiaries (“</w:t>
      </w:r>
      <w:r>
        <w:rPr>
          <w:rFonts w:ascii="Calibri" w:cs="Calibri" w:eastAsia="Calibri" w:hAnsi="Calibri"/>
          <w:sz w:val="22"/>
          <w:szCs w:val="22"/>
          <w:u w:val="single" w:color="auto"/>
          <w:color w:val="auto"/>
        </w:rPr>
        <w:t>Parent</w:t>
      </w:r>
      <w:r>
        <w:rPr>
          <w:rFonts w:ascii="Calibri" w:cs="Calibri" w:eastAsia="Calibri" w:hAnsi="Calibri"/>
          <w:sz w:val="22"/>
          <w:szCs w:val="22"/>
          <w:color w:val="auto"/>
        </w:rPr>
        <w:t>”)) in substantally the same proportons as their ownership immediately prior to such Business Combinaton of the Outstanding Company Common Stock and the Outstanding Company Votng Securites, as the case may be, (ii) no Person (excluding any entty resultng from such Business Combinaton or a Parent or any employee beneft plan (or related trust) of the Company or such entty resultng from such Business Combinaton or Parent) benefcially owns, directly or indirectly, 20% or more of, respectvely, the then-outstanding shares of common stock of the entty resultng from such Business Combinaton or the combined votng power of the then-outstanding votng securites of such entty, except to the extent that the ownership in excess of 20% existed prior to the Business Combinaton, and (iii) at least a majority of the members of the board of directors or trustees of the entty resultng from such Business Combinaton were members of the Incumbent Board at the tme of the executon of the inital agreement or of the acton of the Board providing for such Business Combinaton; or</w:t>
      </w:r>
    </w:p>
    <w:p>
      <w:pPr>
        <w:spacing w:after="0" w:line="209" w:lineRule="exact"/>
        <w:rPr>
          <w:sz w:val="20"/>
          <w:szCs w:val="20"/>
          <w:color w:val="auto"/>
        </w:rPr>
      </w:pPr>
    </w:p>
    <w:p>
      <w:pPr>
        <w:ind w:left="1940" w:hanging="636"/>
        <w:spacing w:after="0"/>
        <w:tabs>
          <w:tab w:leader="none" w:pos="1940" w:val="left"/>
        </w:tabs>
        <w:numPr>
          <w:ilvl w:val="0"/>
          <w:numId w:val="88"/>
        </w:numPr>
        <w:rPr>
          <w:rFonts w:ascii="Calibri" w:cs="Calibri" w:eastAsia="Calibri" w:hAnsi="Calibri"/>
          <w:sz w:val="22"/>
          <w:szCs w:val="22"/>
          <w:color w:val="auto"/>
        </w:rPr>
      </w:pPr>
      <w:r>
        <w:rPr>
          <w:rFonts w:ascii="Calibri" w:cs="Calibri" w:eastAsia="Calibri" w:hAnsi="Calibri"/>
          <w:sz w:val="22"/>
          <w:szCs w:val="22"/>
          <w:color w:val="auto"/>
        </w:rPr>
        <w:t>Approval by the stockholders of the Company of a complete liquidaton or dissoluton of the Company.</w:t>
      </w:r>
    </w:p>
    <w:p>
      <w:pPr>
        <w:spacing w:after="0" w:line="206"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Code</w:t>
      </w:r>
      <w:r>
        <w:rPr>
          <w:rFonts w:ascii="Calibri" w:cs="Calibri" w:eastAsia="Calibri" w:hAnsi="Calibri"/>
          <w:sz w:val="22"/>
          <w:szCs w:val="22"/>
          <w:color w:val="auto"/>
        </w:rPr>
        <w:t>” means the Internal Revenue Code of 1986, as amended.</w:t>
      </w:r>
    </w:p>
    <w:p>
      <w:pPr>
        <w:spacing w:after="0" w:line="215"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Common Stock</w:t>
      </w:r>
      <w:r>
        <w:rPr>
          <w:rFonts w:ascii="Calibri" w:cs="Calibri" w:eastAsia="Calibri" w:hAnsi="Calibri"/>
          <w:sz w:val="22"/>
          <w:szCs w:val="22"/>
          <w:color w:val="auto"/>
        </w:rPr>
        <w:t>” means shares of the Company’s common stock, par value $0.01 per share, either currently existng or authorized hereafer.</w:t>
      </w:r>
    </w:p>
    <w:p>
      <w:pPr>
        <w:spacing w:after="0" w:line="217" w:lineRule="exact"/>
        <w:rPr>
          <w:sz w:val="20"/>
          <w:szCs w:val="20"/>
          <w:color w:val="auto"/>
        </w:rPr>
      </w:pPr>
    </w:p>
    <w:p>
      <w:pPr>
        <w:jc w:val="both"/>
        <w:ind w:firstLine="648"/>
        <w:spacing w:after="0" w:line="230"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Compettve Actvites</w:t>
      </w:r>
      <w:r>
        <w:rPr>
          <w:rFonts w:ascii="Calibri" w:cs="Calibri" w:eastAsia="Calibri" w:hAnsi="Calibri"/>
          <w:sz w:val="22"/>
          <w:szCs w:val="22"/>
          <w:color w:val="auto"/>
        </w:rPr>
        <w:t>” means that the Grantee, directly or indirectly, whether as owner, partner, shareholder, consultant, agent, employee, co-venturer or otherwise, engages, partcipates, assists or invests in any Competng Business (as hereinafer defned). The term “</w:t>
      </w:r>
      <w:r>
        <w:rPr>
          <w:rFonts w:ascii="Calibri" w:cs="Calibri" w:eastAsia="Calibri" w:hAnsi="Calibri"/>
          <w:sz w:val="22"/>
          <w:szCs w:val="22"/>
          <w:u w:val="single" w:color="auto"/>
          <w:color w:val="auto"/>
        </w:rPr>
        <w:t>Competng Business</w:t>
      </w:r>
      <w:r>
        <w:rPr>
          <w:rFonts w:ascii="Calibri" w:cs="Calibri" w:eastAsia="Calibri" w:hAnsi="Calibri"/>
          <w:sz w:val="22"/>
          <w:szCs w:val="22"/>
          <w:color w:val="auto"/>
        </w:rPr>
        <w:t>” shall mean a publicly traded real estate investment trust that is identfed by the Natonal Associaton of Real Estate Investment Trusts (“</w:t>
      </w:r>
      <w:r>
        <w:rPr>
          <w:rFonts w:ascii="Calibri" w:cs="Calibri" w:eastAsia="Calibri" w:hAnsi="Calibri"/>
          <w:sz w:val="22"/>
          <w:szCs w:val="22"/>
          <w:u w:val="single" w:color="auto"/>
          <w:color w:val="auto"/>
        </w:rPr>
        <w:t>Nareit</w:t>
      </w:r>
      <w:r>
        <w:rPr>
          <w:rFonts w:ascii="Calibri" w:cs="Calibri" w:eastAsia="Calibri" w:hAnsi="Calibri"/>
          <w:sz w:val="22"/>
          <w:szCs w:val="22"/>
          <w:color w:val="auto"/>
        </w:rPr>
        <w:t>”) as a “mall REIT” or “shopping center REIT” (other than the Company or a surviving or resultng entty upon a Change of Control, or any of their respectve afliates). Notwithstanding the foregoing, the Grantee may own equity securites of an entty which consttutes, or is afliated with, a Competng Business, so long at their value does not exceed two percent (2%) of the aggregate equity market capitalizaton of the Competng Business.</w:t>
      </w:r>
    </w:p>
    <w:p>
      <w:pPr>
        <w:spacing w:after="0" w:line="223"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Contnuous Service</w:t>
      </w:r>
      <w:r>
        <w:rPr>
          <w:rFonts w:ascii="Calibri" w:cs="Calibri" w:eastAsia="Calibri" w:hAnsi="Calibri"/>
          <w:sz w:val="22"/>
          <w:szCs w:val="22"/>
          <w:color w:val="auto"/>
        </w:rPr>
        <w:t>” means the contnuous service to the Company or any Subsidiary or afliate, without interrupton or terminaton. Contnuous Service shall not be considered interrupted in the case of (A) any approved leave of absence,</w:t>
      </w:r>
    </w:p>
    <w:p>
      <w:pPr>
        <w:spacing w:after="0" w:line="1" w:lineRule="exact"/>
        <w:rPr>
          <w:sz w:val="20"/>
          <w:szCs w:val="20"/>
          <w:color w:val="auto"/>
        </w:rPr>
      </w:pPr>
    </w:p>
    <w:p>
      <w:pPr>
        <w:jc w:val="both"/>
        <w:ind w:firstLine="8"/>
        <w:spacing w:after="0" w:line="229" w:lineRule="auto"/>
        <w:tabs>
          <w:tab w:leader="none" w:pos="324" w:val="left"/>
        </w:tabs>
        <w:numPr>
          <w:ilvl w:val="0"/>
          <w:numId w:val="89"/>
        </w:numPr>
        <w:rPr>
          <w:rFonts w:ascii="Calibri" w:cs="Calibri" w:eastAsia="Calibri" w:hAnsi="Calibri"/>
          <w:sz w:val="22"/>
          <w:szCs w:val="22"/>
          <w:color w:val="auto"/>
        </w:rPr>
      </w:pPr>
      <w:r>
        <w:rPr>
          <w:rFonts w:ascii="Calibri" w:cs="Calibri" w:eastAsia="Calibri" w:hAnsi="Calibri"/>
          <w:sz w:val="22"/>
          <w:szCs w:val="22"/>
          <w:color w:val="auto"/>
        </w:rPr>
        <w:t>transfers among the Company and any Subsidiary or afliate, or any successor, in any capacity of employee, or with the writen consent of the Commitee, consultant, or (C) any change in status as long as the individual remains in the service of the Company and any Subsidiary or afliate in any capacity of employee, member of the Board or (if the Company specifcally agrees in writng that the Contnuous Service is not uninterrupted) a consultant. An approved leave of absence shall include sick leave, military leave, or any other authorized personal leave.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w:t>
      </w:r>
    </w:p>
    <w:p>
      <w:pPr>
        <w:sectPr>
          <w:pgSz w:w="11900" w:h="16838" w:orient="portrait"/>
          <w:cols w:equalWidth="0" w:num="1">
            <w:col w:w="11240"/>
          </w:cols>
          <w:pgMar w:left="320" w:top="1407" w:right="339" w:bottom="1440" w:gutter="0" w:footer="0" w:header="0"/>
        </w:sectPr>
      </w:pPr>
    </w:p>
    <w:bookmarkStart w:id="87" w:name="page88"/>
    <w:bookmarkEnd w:id="87"/>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Disability</w:t>
      </w:r>
      <w:r>
        <w:rPr>
          <w:rFonts w:ascii="Calibri" w:cs="Calibri" w:eastAsia="Calibri" w:hAnsi="Calibri"/>
          <w:sz w:val="22"/>
          <w:szCs w:val="22"/>
          <w:color w:val="auto"/>
        </w:rPr>
        <w:t>” means a “disability”, as determined under the Company’s long-term disability plan in efect on the date of terminaton, enttling the Grantee to benefts under such long-term disability plan.</w:t>
      </w:r>
    </w:p>
    <w:p>
      <w:pPr>
        <w:spacing w:after="0" w:line="206"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Efectve Date</w:t>
      </w:r>
      <w:r>
        <w:rPr>
          <w:rFonts w:ascii="Calibri" w:cs="Calibri" w:eastAsia="Calibri" w:hAnsi="Calibri"/>
          <w:sz w:val="22"/>
          <w:szCs w:val="22"/>
          <w:color w:val="auto"/>
        </w:rPr>
        <w:t>” means March 1, 2024.</w:t>
      </w:r>
    </w:p>
    <w:p>
      <w:pPr>
        <w:spacing w:after="0" w:line="217"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Exchange Act</w:t>
      </w:r>
      <w:r>
        <w:rPr>
          <w:rFonts w:ascii="Calibri" w:cs="Calibri" w:eastAsia="Calibri" w:hAnsi="Calibri"/>
          <w:sz w:val="22"/>
          <w:szCs w:val="22"/>
          <w:color w:val="auto"/>
        </w:rPr>
        <w:t>” means the Securites Exchange Act of 1934, as amended.</w:t>
      </w:r>
    </w:p>
    <w:p>
      <w:pPr>
        <w:spacing w:after="0" w:line="215" w:lineRule="exact"/>
        <w:rPr>
          <w:sz w:val="20"/>
          <w:szCs w:val="20"/>
          <w:color w:val="auto"/>
        </w:rPr>
      </w:pPr>
    </w:p>
    <w:p>
      <w:pPr>
        <w:jc w:val="both"/>
        <w:ind w:right="20" w:firstLine="567"/>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Good Reason</w:t>
      </w:r>
      <w:r>
        <w:rPr>
          <w:rFonts w:ascii="Calibri" w:cs="Calibri" w:eastAsia="Calibri" w:hAnsi="Calibri"/>
          <w:sz w:val="22"/>
          <w:szCs w:val="22"/>
          <w:color w:val="auto"/>
        </w:rPr>
        <w:t>” means “Good Reason” as defned in the Severance Arrangement, as modifed pursuant to the terms and conditons of Grantee’s Service Agreement.</w:t>
      </w:r>
    </w:p>
    <w:p>
      <w:pPr>
        <w:spacing w:after="0" w:line="217"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LTIP Units</w:t>
      </w:r>
      <w:r>
        <w:rPr>
          <w:rFonts w:ascii="Calibri" w:cs="Calibri" w:eastAsia="Calibri" w:hAnsi="Calibri"/>
          <w:sz w:val="22"/>
          <w:szCs w:val="22"/>
          <w:color w:val="auto"/>
        </w:rPr>
        <w:t>” means units of limited partnership interest of the Partnership designated as “LTIP Units” in the Partnership Agreement awarded pursuant to this Agreement under the LTIP having the rights, votng powers, restrictons, limitatons as to distributons, qualifcatons and terms and conditons of redempton set forth in the Partnership Agreement.</w:t>
      </w:r>
    </w:p>
    <w:p>
      <w:pPr>
        <w:spacing w:after="0" w:line="217"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Partnership Agreement</w:t>
      </w:r>
      <w:r>
        <w:rPr>
          <w:rFonts w:ascii="Calibri" w:cs="Calibri" w:eastAsia="Calibri" w:hAnsi="Calibri"/>
          <w:sz w:val="22"/>
          <w:szCs w:val="22"/>
          <w:color w:val="auto"/>
        </w:rPr>
        <w:t>” means the Amended and Restated Limited Partnership Agreement of the Partnership, dated as of March 16, 1994, among the Company, as general partner, and the limited partners who are partes thereto, as amended from tme to tme.</w:t>
      </w:r>
    </w:p>
    <w:p>
      <w:pPr>
        <w:spacing w:after="0" w:line="217"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Person</w:t>
      </w:r>
      <w:r>
        <w:rPr>
          <w:rFonts w:ascii="Calibri" w:cs="Calibri" w:eastAsia="Calibri" w:hAnsi="Calibri"/>
          <w:sz w:val="22"/>
          <w:szCs w:val="22"/>
          <w:color w:val="auto"/>
        </w:rPr>
        <w:t>” means an individual, corporaton, partnership, limited liability company, joint venture, associaton, trust, unincorporated organizaton, other entty or “group” (as defned in the Exchange Act).</w:t>
      </w:r>
    </w:p>
    <w:p>
      <w:pPr>
        <w:spacing w:after="0" w:line="230" w:lineRule="exact"/>
        <w:rPr>
          <w:sz w:val="20"/>
          <w:szCs w:val="20"/>
          <w:color w:val="auto"/>
        </w:rPr>
      </w:pPr>
    </w:p>
    <w:p>
      <w:pPr>
        <w:jc w:val="both"/>
        <w:ind w:right="20"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Qualifed Terminaton</w:t>
      </w:r>
      <w:r>
        <w:rPr>
          <w:rFonts w:ascii="Calibri" w:cs="Calibri" w:eastAsia="Calibri" w:hAnsi="Calibri"/>
          <w:sz w:val="22"/>
          <w:szCs w:val="22"/>
          <w:color w:val="auto"/>
        </w:rPr>
        <w:t>” means a terminaton of the Grantee’s employment (A) by the Company for no reason, or for any reason (other than for Cause, death or Disability) or, (B) by the Grantee for Good Reason.</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Restricted Period</w:t>
      </w:r>
      <w:r>
        <w:rPr>
          <w:rFonts w:ascii="Calibri" w:cs="Calibri" w:eastAsia="Calibri" w:hAnsi="Calibri"/>
          <w:sz w:val="22"/>
          <w:szCs w:val="22"/>
          <w:color w:val="auto"/>
        </w:rPr>
        <w:t>” means March 1, 2024, through March 1, 2029.</w:t>
      </w:r>
    </w:p>
    <w:p>
      <w:pPr>
        <w:spacing w:after="0" w:line="216" w:lineRule="exact"/>
        <w:rPr>
          <w:sz w:val="20"/>
          <w:szCs w:val="20"/>
          <w:color w:val="auto"/>
        </w:rPr>
      </w:pPr>
    </w:p>
    <w:p>
      <w:pPr>
        <w:jc w:val="both"/>
        <w:ind w:right="20" w:firstLine="648"/>
        <w:spacing w:after="0" w:line="241" w:lineRule="auto"/>
        <w:rPr>
          <w:sz w:val="20"/>
          <w:szCs w:val="20"/>
          <w:color w:val="auto"/>
        </w:rPr>
      </w:pPr>
      <w:r>
        <w:rPr>
          <w:rFonts w:ascii="Calibri" w:cs="Calibri" w:eastAsia="Calibri" w:hAnsi="Calibri"/>
          <w:sz w:val="21"/>
          <w:szCs w:val="21"/>
          <w:color w:val="auto"/>
        </w:rPr>
        <w:t>“</w:t>
      </w:r>
      <w:r>
        <w:rPr>
          <w:rFonts w:ascii="Calibri" w:cs="Calibri" w:eastAsia="Calibri" w:hAnsi="Calibri"/>
          <w:sz w:val="21"/>
          <w:szCs w:val="21"/>
          <w:u w:val="single" w:color="auto"/>
          <w:color w:val="auto"/>
        </w:rPr>
        <w:t>Retrement</w:t>
      </w:r>
      <w:r>
        <w:rPr>
          <w:rFonts w:ascii="Calibri" w:cs="Calibri" w:eastAsia="Calibri" w:hAnsi="Calibri"/>
          <w:sz w:val="21"/>
          <w:szCs w:val="21"/>
          <w:color w:val="auto"/>
        </w:rPr>
        <w:t xml:space="preserve">” means Grantee’s voluntary terminaton of employment with the Company and its Subsidiaries on or afer the atainment of age 55 and completon of ten (10) years of employment with the Company and/or a Subsidiary,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that</w:t>
      </w:r>
    </w:p>
    <w:p>
      <w:pPr>
        <w:spacing w:after="0" w:line="12" w:lineRule="exact"/>
        <w:rPr>
          <w:sz w:val="20"/>
          <w:szCs w:val="20"/>
          <w:color w:val="auto"/>
        </w:rPr>
      </w:pPr>
    </w:p>
    <w:p>
      <w:pPr>
        <w:jc w:val="both"/>
        <w:ind w:firstLine="8"/>
        <w:spacing w:after="0" w:line="229" w:lineRule="auto"/>
        <w:tabs>
          <w:tab w:leader="none" w:pos="313" w:val="left"/>
        </w:tabs>
        <w:numPr>
          <w:ilvl w:val="0"/>
          <w:numId w:val="90"/>
        </w:numPr>
        <w:rPr>
          <w:rFonts w:ascii="Calibri" w:cs="Calibri" w:eastAsia="Calibri" w:hAnsi="Calibri"/>
          <w:sz w:val="22"/>
          <w:szCs w:val="22"/>
          <w:color w:val="auto"/>
        </w:rPr>
      </w:pPr>
      <w:r>
        <w:rPr>
          <w:rFonts w:ascii="Calibri" w:cs="Calibri" w:eastAsia="Calibri" w:hAnsi="Calibri"/>
          <w:sz w:val="22"/>
          <w:szCs w:val="22"/>
          <w:color w:val="auto"/>
        </w:rPr>
        <w:t>the Grantee has provided notce of at least six (6) months prior to the efectve date of the Grantee’s retrement and (2) following Retrement the Grantee does not engage in Compettve Actvites during the balance of the Restricted Period. For purposes of the foregoing, Grantee shall be provided with years of service creditng in accordance with Grantee’s Service Agreement.</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Service Agreement</w:t>
      </w:r>
      <w:r>
        <w:rPr>
          <w:rFonts w:ascii="Calibri" w:cs="Calibri" w:eastAsia="Calibri" w:hAnsi="Calibri"/>
          <w:sz w:val="22"/>
          <w:szCs w:val="22"/>
          <w:color w:val="auto"/>
        </w:rPr>
        <w:t>” means Grantee’s Employment Agreement with the Company dated as of February 1, 2024.</w:t>
      </w:r>
    </w:p>
    <w:p>
      <w:pPr>
        <w:spacing w:after="0" w:line="230" w:lineRule="exact"/>
        <w:rPr>
          <w:sz w:val="20"/>
          <w:szCs w:val="20"/>
          <w:color w:val="auto"/>
        </w:rPr>
      </w:pPr>
    </w:p>
    <w:p>
      <w:pPr>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Severance Arrangement</w:t>
      </w:r>
      <w:r>
        <w:rPr>
          <w:rFonts w:ascii="Calibri" w:cs="Calibri" w:eastAsia="Calibri" w:hAnsi="Calibri"/>
          <w:sz w:val="22"/>
          <w:szCs w:val="22"/>
          <w:color w:val="auto"/>
        </w:rPr>
        <w:t>” means The Macerich Company Amended and Restated Severance Pay Plan, as in efect on the Efectve Date.</w:t>
      </w:r>
    </w:p>
    <w:p>
      <w:pPr>
        <w:spacing w:after="0" w:line="204" w:lineRule="exact"/>
        <w:rPr>
          <w:sz w:val="20"/>
          <w:szCs w:val="20"/>
          <w:color w:val="auto"/>
        </w:rPr>
      </w:pPr>
    </w:p>
    <w:p>
      <w:pPr>
        <w:ind w:left="58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Sign-On LTIP Units</w:t>
      </w:r>
      <w:r>
        <w:rPr>
          <w:rFonts w:ascii="Calibri" w:cs="Calibri" w:eastAsia="Calibri" w:hAnsi="Calibri"/>
          <w:sz w:val="22"/>
          <w:szCs w:val="22"/>
          <w:color w:val="auto"/>
        </w:rPr>
        <w:t xml:space="preserve">” has the meaning set forth in </w:t>
      </w:r>
      <w:r>
        <w:rPr>
          <w:rFonts w:ascii="Calibri" w:cs="Calibri" w:eastAsia="Calibri" w:hAnsi="Calibri"/>
          <w:sz w:val="22"/>
          <w:szCs w:val="22"/>
          <w:u w:val="single" w:color="auto"/>
          <w:color w:val="auto"/>
        </w:rPr>
        <w:t>Secton 3(a)</w:t>
      </w:r>
      <w:r>
        <w:rPr>
          <w:rFonts w:ascii="Calibri" w:cs="Calibri" w:eastAsia="Calibri" w:hAnsi="Calibri"/>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w:t>
      </w:r>
    </w:p>
    <w:p>
      <w:pPr>
        <w:sectPr>
          <w:pgSz w:w="11900" w:h="16838" w:orient="portrait"/>
          <w:cols w:equalWidth="0" w:num="1">
            <w:col w:w="11240"/>
          </w:cols>
          <w:pgMar w:left="320" w:top="1407" w:right="339" w:bottom="1440" w:gutter="0" w:footer="0" w:header="0"/>
        </w:sectPr>
      </w:pPr>
    </w:p>
    <w:bookmarkStart w:id="88" w:name="page89"/>
    <w:bookmarkEnd w:id="88"/>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Units</w:t>
      </w:r>
      <w:r>
        <w:rPr>
          <w:rFonts w:ascii="Calibri" w:cs="Calibri" w:eastAsia="Calibri" w:hAnsi="Calibri"/>
          <w:sz w:val="22"/>
          <w:szCs w:val="22"/>
          <w:color w:val="auto"/>
        </w:rPr>
        <w:t>” means Partnership Units (as defned in the Partnership Agreement) that are outstanding or are issuable upon the conversion, exercise, exchange or redempton of any securites of any kind convertble, exercisable, exchangeable or redeemable for Partnership Units.</w:t>
      </w:r>
    </w:p>
    <w:p>
      <w:pPr>
        <w:spacing w:after="0" w:line="220"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Vestng Date</w:t>
      </w:r>
      <w:r>
        <w:rPr>
          <w:rFonts w:ascii="Calibri" w:cs="Calibri" w:eastAsia="Calibri" w:hAnsi="Calibri"/>
          <w:sz w:val="22"/>
          <w:szCs w:val="22"/>
          <w:color w:val="auto"/>
        </w:rPr>
        <w:t>” means each of the vestng dates set forth in Secton 4.</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Vestng Schedule</w:t>
      </w:r>
      <w:r>
        <w:rPr>
          <w:rFonts w:ascii="Calibri" w:cs="Calibri" w:eastAsia="Calibri" w:hAnsi="Calibri"/>
          <w:sz w:val="22"/>
          <w:szCs w:val="22"/>
          <w:color w:val="auto"/>
        </w:rPr>
        <w:t>” means the vestng schedule set forth in Secton 4.</w:t>
      </w:r>
    </w:p>
    <w:p>
      <w:pPr>
        <w:spacing w:after="0" w:line="204" w:lineRule="exact"/>
        <w:rPr>
          <w:sz w:val="20"/>
          <w:szCs w:val="20"/>
          <w:color w:val="auto"/>
        </w:rPr>
      </w:pPr>
    </w:p>
    <w:p>
      <w:pPr>
        <w:ind w:left="1300" w:hanging="644"/>
        <w:spacing w:after="0"/>
        <w:tabs>
          <w:tab w:leader="none" w:pos="1300" w:val="left"/>
        </w:tabs>
        <w:numPr>
          <w:ilvl w:val="0"/>
          <w:numId w:val="91"/>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Award of Sign-On LTIP Units</w:t>
      </w:r>
      <w:r>
        <w:rPr>
          <w:rFonts w:ascii="Calibri" w:cs="Calibri" w:eastAsia="Calibri" w:hAnsi="Calibri"/>
          <w:sz w:val="22"/>
          <w:szCs w:val="22"/>
          <w:b w:val="1"/>
          <w:bCs w:val="1"/>
          <w:color w:val="auto"/>
        </w:rPr>
        <w:t>.</w:t>
      </w:r>
    </w:p>
    <w:p>
      <w:pPr>
        <w:spacing w:after="0" w:line="214" w:lineRule="exact"/>
        <w:rPr>
          <w:rFonts w:ascii="Calibri" w:cs="Calibri" w:eastAsia="Calibri" w:hAnsi="Calibri"/>
          <w:sz w:val="22"/>
          <w:szCs w:val="22"/>
          <w:color w:val="auto"/>
        </w:rPr>
      </w:pPr>
    </w:p>
    <w:p>
      <w:pPr>
        <w:jc w:val="both"/>
        <w:ind w:firstLine="1304"/>
        <w:spacing w:after="0" w:line="233" w:lineRule="auto"/>
        <w:tabs>
          <w:tab w:leader="none" w:pos="1935" w:val="left"/>
        </w:tabs>
        <w:numPr>
          <w:ilvl w:val="1"/>
          <w:numId w:val="91"/>
        </w:numPr>
        <w:rPr>
          <w:rFonts w:ascii="Calibri" w:cs="Calibri" w:eastAsia="Calibri" w:hAnsi="Calibri"/>
          <w:sz w:val="22"/>
          <w:szCs w:val="22"/>
          <w:color w:val="auto"/>
        </w:rPr>
      </w:pPr>
      <w:r>
        <w:rPr>
          <w:rFonts w:ascii="Calibri" w:cs="Calibri" w:eastAsia="Calibri" w:hAnsi="Calibri"/>
          <w:sz w:val="22"/>
          <w:szCs w:val="22"/>
          <w:color w:val="auto"/>
        </w:rPr>
        <w:t xml:space="preserve">On the terms and conditons set forth in this Agreement, as well as the terms and conditons of the Stock Plan, the Grantee is hereby granted this Award consistng of the number of Sign-On LTIP Units set forth on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opposite “Sign-On LTIP Units”, which is incorporated herein by reference (the “</w:t>
      </w:r>
      <w:r>
        <w:rPr>
          <w:rFonts w:ascii="Calibri" w:cs="Calibri" w:eastAsia="Calibri" w:hAnsi="Calibri"/>
          <w:sz w:val="22"/>
          <w:szCs w:val="22"/>
          <w:u w:val="single" w:color="auto"/>
          <w:color w:val="auto"/>
        </w:rPr>
        <w:t>Sign-On LTIP Units</w:t>
      </w:r>
      <w:r>
        <w:rPr>
          <w:rFonts w:ascii="Calibri" w:cs="Calibri" w:eastAsia="Calibri" w:hAnsi="Calibri"/>
          <w:sz w:val="22"/>
          <w:szCs w:val="22"/>
          <w:color w:val="auto"/>
        </w:rPr>
        <w:t>”).</w:t>
      </w:r>
    </w:p>
    <w:p>
      <w:pPr>
        <w:spacing w:after="0" w:line="216" w:lineRule="exact"/>
        <w:rPr>
          <w:rFonts w:ascii="Calibri" w:cs="Calibri" w:eastAsia="Calibri" w:hAnsi="Calibri"/>
          <w:sz w:val="22"/>
          <w:szCs w:val="22"/>
          <w:color w:val="auto"/>
        </w:rPr>
      </w:pPr>
    </w:p>
    <w:p>
      <w:pPr>
        <w:jc w:val="both"/>
        <w:ind w:firstLine="1304"/>
        <w:spacing w:after="0" w:line="229" w:lineRule="auto"/>
        <w:tabs>
          <w:tab w:leader="none" w:pos="1932" w:val="left"/>
        </w:tabs>
        <w:numPr>
          <w:ilvl w:val="1"/>
          <w:numId w:val="91"/>
        </w:numPr>
        <w:rPr>
          <w:rFonts w:ascii="Calibri" w:cs="Calibri" w:eastAsia="Calibri" w:hAnsi="Calibri"/>
          <w:sz w:val="22"/>
          <w:szCs w:val="22"/>
          <w:color w:val="auto"/>
        </w:rPr>
      </w:pPr>
      <w:r>
        <w:rPr>
          <w:rFonts w:ascii="Calibri" w:cs="Calibri" w:eastAsia="Calibri" w:hAnsi="Calibri"/>
          <w:sz w:val="22"/>
          <w:szCs w:val="22"/>
          <w:color w:val="auto"/>
        </w:rPr>
        <w:t xml:space="preserve">Sign-On LTIP Units shall consttute and be treated as the property of the Grantee as of the applicable grant date, subject to the terms of this Agreement and the Partnership Agreement. Every grant of Sign-On LTIP Units to the Grantee pursuant to this Award shall be set forth in minutes of the meetngs of the Board. Sign-On LTIP Units will be: (A) subject to vestng and/or forfeiture to the extent provided in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hereof; and (B) subject to restrictons on transfer as provided in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hereof.</w:t>
      </w:r>
    </w:p>
    <w:p>
      <w:pPr>
        <w:spacing w:after="0" w:line="220" w:lineRule="exact"/>
        <w:rPr>
          <w:rFonts w:ascii="Calibri" w:cs="Calibri" w:eastAsia="Calibri" w:hAnsi="Calibri"/>
          <w:sz w:val="22"/>
          <w:szCs w:val="22"/>
          <w:color w:val="auto"/>
        </w:rPr>
      </w:pPr>
    </w:p>
    <w:p>
      <w:pPr>
        <w:ind w:left="1300" w:hanging="644"/>
        <w:spacing w:after="0"/>
        <w:tabs>
          <w:tab w:leader="none" w:pos="1300" w:val="left"/>
        </w:tabs>
        <w:numPr>
          <w:ilvl w:val="0"/>
          <w:numId w:val="91"/>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Vestng of Sign-On LTIP Units.</w:t>
      </w:r>
    </w:p>
    <w:p>
      <w:pPr>
        <w:spacing w:after="0" w:line="214" w:lineRule="exact"/>
        <w:rPr>
          <w:rFonts w:ascii="Calibri" w:cs="Calibri" w:eastAsia="Calibri" w:hAnsi="Calibri"/>
          <w:sz w:val="22"/>
          <w:szCs w:val="22"/>
          <w:color w:val="auto"/>
        </w:rPr>
      </w:pPr>
    </w:p>
    <w:p>
      <w:pPr>
        <w:jc w:val="both"/>
        <w:ind w:firstLine="1304"/>
        <w:spacing w:after="0" w:line="229" w:lineRule="auto"/>
        <w:tabs>
          <w:tab w:leader="none" w:pos="1935" w:val="left"/>
        </w:tabs>
        <w:numPr>
          <w:ilvl w:val="1"/>
          <w:numId w:val="91"/>
        </w:numPr>
        <w:rPr>
          <w:rFonts w:ascii="Calibri" w:cs="Calibri" w:eastAsia="Calibri" w:hAnsi="Calibri"/>
          <w:sz w:val="22"/>
          <w:szCs w:val="22"/>
          <w:color w:val="auto"/>
        </w:rPr>
      </w:pPr>
      <w:r>
        <w:rPr>
          <w:rFonts w:ascii="Calibri" w:cs="Calibri" w:eastAsia="Calibri" w:hAnsi="Calibri"/>
          <w:sz w:val="22"/>
          <w:szCs w:val="22"/>
          <w:color w:val="auto"/>
        </w:rPr>
        <w:t xml:space="preserve">Except as otherwise provided in this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hereof and/or the Stock Plan, the Sign-On LTIP Units shall become vested in the amounts provided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the Contnuous Service of the Grantee contnues through and on the relevant Vestng Date.</w:t>
      </w:r>
    </w:p>
    <w:p>
      <w:pPr>
        <w:spacing w:after="0" w:line="216" w:lineRule="exact"/>
        <w:rPr>
          <w:rFonts w:ascii="Calibri" w:cs="Calibri" w:eastAsia="Calibri" w:hAnsi="Calibri"/>
          <w:sz w:val="22"/>
          <w:szCs w:val="22"/>
          <w:color w:val="auto"/>
        </w:rPr>
      </w:pPr>
    </w:p>
    <w:p>
      <w:pPr>
        <w:jc w:val="both"/>
        <w:ind w:firstLine="1304"/>
        <w:spacing w:after="0" w:line="232" w:lineRule="auto"/>
        <w:tabs>
          <w:tab w:leader="none" w:pos="1932" w:val="left"/>
        </w:tabs>
        <w:numPr>
          <w:ilvl w:val="1"/>
          <w:numId w:val="91"/>
        </w:numPr>
        <w:rPr>
          <w:rFonts w:ascii="Calibri" w:cs="Calibri" w:eastAsia="Calibri" w:hAnsi="Calibri"/>
          <w:sz w:val="22"/>
          <w:szCs w:val="22"/>
          <w:color w:val="auto"/>
        </w:rPr>
      </w:pPr>
      <w:r>
        <w:rPr>
          <w:rFonts w:ascii="Calibri" w:cs="Calibri" w:eastAsia="Calibri" w:hAnsi="Calibri"/>
          <w:sz w:val="22"/>
          <w:szCs w:val="22"/>
          <w:color w:val="auto"/>
        </w:rPr>
        <w:t xml:space="preserve">The Grantee agrees to provide Contnuous Service to the Company in consideraton for the conditonal rights to the unvested Sign-On LTIP Units. Except as otherwise provided in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or pursuant to the Stock Plan, the Vestng Schedule provided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requires Contnuous Service through each applicable Vestng Date as a conditon to the vestng of the applicable installment and rights and benefts under this Agreement. Partal service, even if substantal, during any vestng period will not enttle the Grantee to any proportonate vestng or avoid or mitgate a terminaton of rights and benefts upon or following a terminaton of employment or service except as provided in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below or under the Stock Plan.</w:t>
      </w:r>
    </w:p>
    <w:p>
      <w:pPr>
        <w:spacing w:after="0" w:line="221" w:lineRule="exact"/>
        <w:rPr>
          <w:rFonts w:ascii="Calibri" w:cs="Calibri" w:eastAsia="Calibri" w:hAnsi="Calibri"/>
          <w:sz w:val="22"/>
          <w:szCs w:val="22"/>
          <w:color w:val="auto"/>
        </w:rPr>
      </w:pPr>
    </w:p>
    <w:p>
      <w:pPr>
        <w:jc w:val="both"/>
        <w:ind w:firstLine="1304"/>
        <w:spacing w:after="0" w:line="229" w:lineRule="auto"/>
        <w:tabs>
          <w:tab w:leader="none" w:pos="1937" w:val="left"/>
        </w:tabs>
        <w:numPr>
          <w:ilvl w:val="1"/>
          <w:numId w:val="91"/>
        </w:numPr>
        <w:rPr>
          <w:rFonts w:ascii="Calibri" w:cs="Calibri" w:eastAsia="Calibri" w:hAnsi="Calibri"/>
          <w:sz w:val="22"/>
          <w:szCs w:val="22"/>
          <w:color w:val="auto"/>
        </w:rPr>
      </w:pPr>
      <w:r>
        <w:rPr>
          <w:rFonts w:ascii="Calibri" w:cs="Calibri" w:eastAsia="Calibri" w:hAnsi="Calibri"/>
          <w:sz w:val="22"/>
          <w:szCs w:val="22"/>
          <w:color w:val="auto"/>
        </w:rPr>
        <w:t xml:space="preserve">Any Sign-On LTIP Units that do not become vested pursuant to this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below shall, without payment of any consideraton by the Partnership, automatcally and without notce terminate, be forfeited and be and become null and void, and neither the Grantee nor any of his or her successors, heirs, assigns, or personal representatves will thereafer have any further rights or interests in such unvested Sign-On LTIP Units.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w:t>
      </w:r>
    </w:p>
    <w:p>
      <w:pPr>
        <w:sectPr>
          <w:pgSz w:w="11900" w:h="16838" w:orient="portrait"/>
          <w:cols w:equalWidth="0" w:num="1">
            <w:col w:w="11240"/>
          </w:cols>
          <w:pgMar w:left="320" w:top="1407" w:right="339" w:bottom="1440" w:gutter="0" w:footer="0" w:header="0"/>
        </w:sectPr>
      </w:pPr>
    </w:p>
    <w:bookmarkStart w:id="89" w:name="page90"/>
    <w:bookmarkEnd w:id="89"/>
    <w:p>
      <w:pPr>
        <w:ind w:left="1300" w:hanging="644"/>
        <w:spacing w:after="0"/>
        <w:tabs>
          <w:tab w:leader="none" w:pos="1300" w:val="left"/>
        </w:tabs>
        <w:numPr>
          <w:ilvl w:val="0"/>
          <w:numId w:val="92"/>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Change of Control or Terminaton of Grantee’s Service Relatonship.</w:t>
      </w:r>
    </w:p>
    <w:p>
      <w:pPr>
        <w:spacing w:after="0" w:line="216" w:lineRule="exact"/>
        <w:rPr>
          <w:rFonts w:ascii="Calibri" w:cs="Calibri" w:eastAsia="Calibri" w:hAnsi="Calibri"/>
          <w:sz w:val="22"/>
          <w:szCs w:val="22"/>
          <w:color w:val="auto"/>
        </w:rPr>
      </w:pPr>
    </w:p>
    <w:p>
      <w:pPr>
        <w:jc w:val="both"/>
        <w:ind w:firstLine="1304"/>
        <w:spacing w:after="0" w:line="242" w:lineRule="auto"/>
        <w:tabs>
          <w:tab w:leader="none" w:pos="1935" w:val="left"/>
        </w:tabs>
        <w:numPr>
          <w:ilvl w:val="1"/>
          <w:numId w:val="92"/>
        </w:numPr>
        <w:rPr>
          <w:rFonts w:ascii="Calibri" w:cs="Calibri" w:eastAsia="Calibri" w:hAnsi="Calibri"/>
          <w:sz w:val="21"/>
          <w:szCs w:val="21"/>
          <w:color w:val="auto"/>
        </w:rPr>
      </w:pPr>
      <w:r>
        <w:rPr>
          <w:rFonts w:ascii="Calibri" w:cs="Calibri" w:eastAsia="Calibri" w:hAnsi="Calibri"/>
          <w:sz w:val="21"/>
          <w:szCs w:val="21"/>
          <w:color w:val="auto"/>
        </w:rPr>
        <w:t xml:space="preserve">If the Grantee is a party to a Service Agreement, the provisions of this </w:t>
      </w:r>
      <w:r>
        <w:rPr>
          <w:rFonts w:ascii="Calibri" w:cs="Calibri" w:eastAsia="Calibri" w:hAnsi="Calibri"/>
          <w:sz w:val="21"/>
          <w:szCs w:val="21"/>
          <w:u w:val="single" w:color="auto"/>
          <w:color w:val="auto"/>
        </w:rPr>
        <w:t>Secton 5</w:t>
      </w:r>
      <w:r>
        <w:rPr>
          <w:rFonts w:ascii="Calibri" w:cs="Calibri" w:eastAsia="Calibri" w:hAnsi="Calibri"/>
          <w:sz w:val="21"/>
          <w:szCs w:val="21"/>
          <w:color w:val="auto"/>
        </w:rPr>
        <w:t xml:space="preserve"> shall govern the vestng of the Grantee’s Sign-On LTIP Units exclusively in the event of a Change of Control or terminaton of the Grantee’s service relatonship with the Company or any Subsidiary or afliate, unless the Service Agreement contains provisions that expressly refer to this </w:t>
      </w:r>
      <w:r>
        <w:rPr>
          <w:rFonts w:ascii="Calibri" w:cs="Calibri" w:eastAsia="Calibri" w:hAnsi="Calibri"/>
          <w:sz w:val="21"/>
          <w:szCs w:val="21"/>
          <w:u w:val="single" w:color="auto"/>
          <w:color w:val="auto"/>
        </w:rPr>
        <w:t>Secton 5</w:t>
      </w:r>
      <w:r>
        <w:rPr>
          <w:rFonts w:ascii="Calibri" w:cs="Calibri" w:eastAsia="Calibri" w:hAnsi="Calibri"/>
          <w:sz w:val="21"/>
          <w:szCs w:val="21"/>
          <w:color w:val="auto"/>
        </w:rPr>
        <w:t xml:space="preserve"> and provides that those provisions of the Service Agreement or the Severance Arrangement shall instead govern the vestng of the Grantee’s Sign-On LTIP Units. The foregoing sentence will be deemed an amendment to any applicable Service Agreement to the extent required to apply its terms consistently with this </w:t>
      </w:r>
      <w:r>
        <w:rPr>
          <w:rFonts w:ascii="Calibri" w:cs="Calibri" w:eastAsia="Calibri" w:hAnsi="Calibri"/>
          <w:sz w:val="21"/>
          <w:szCs w:val="21"/>
          <w:u w:val="single" w:color="auto"/>
          <w:color w:val="auto"/>
        </w:rPr>
        <w:t>Secton 5</w:t>
      </w:r>
      <w:r>
        <w:rPr>
          <w:rFonts w:ascii="Calibri" w:cs="Calibri" w:eastAsia="Calibri" w:hAnsi="Calibri"/>
          <w:sz w:val="21"/>
          <w:szCs w:val="21"/>
          <w:color w:val="auto"/>
        </w:rPr>
        <w:t xml:space="preserve">, such that, by way of illustraton, any provisions of the Service Agreement with respect to accelerated vestng or payout of the Grantee’s bonus or incentve compensaton awards in the event of certain types of terminatons of Grantee’s service relatonship (such as, for example, terminaton at the end of the term, terminaton without Cause by the employer or terminaton for Good Reason by the employee) shall not (unless the Service Agreement contains provisions that expressly refer to this </w:t>
      </w:r>
      <w:r>
        <w:rPr>
          <w:rFonts w:ascii="Calibri" w:cs="Calibri" w:eastAsia="Calibri" w:hAnsi="Calibri"/>
          <w:sz w:val="21"/>
          <w:szCs w:val="21"/>
          <w:u w:val="single" w:color="auto"/>
          <w:color w:val="auto"/>
        </w:rPr>
        <w:t>Secton 5</w:t>
      </w:r>
      <w:r>
        <w:rPr>
          <w:rFonts w:ascii="Calibri" w:cs="Calibri" w:eastAsia="Calibri" w:hAnsi="Calibri"/>
          <w:sz w:val="21"/>
          <w:szCs w:val="21"/>
          <w:color w:val="auto"/>
        </w:rPr>
        <w:t xml:space="preserve"> and provides that those provisions of the Service Agreement shall instead govern the vestng of the Grantee’s Sign-On LTIP Units) be interpreted as requiring that any vestng occur with respect to this Award other than as specifcally provided in this </w:t>
      </w:r>
      <w:r>
        <w:rPr>
          <w:rFonts w:ascii="Calibri" w:cs="Calibri" w:eastAsia="Calibri" w:hAnsi="Calibri"/>
          <w:sz w:val="21"/>
          <w:szCs w:val="21"/>
          <w:u w:val="single" w:color="auto"/>
          <w:color w:val="auto"/>
        </w:rPr>
        <w:t>Secton 5</w:t>
      </w:r>
      <w:r>
        <w:rPr>
          <w:rFonts w:ascii="Calibri" w:cs="Calibri" w:eastAsia="Calibri" w:hAnsi="Calibri"/>
          <w:sz w:val="21"/>
          <w:szCs w:val="21"/>
          <w:color w:val="auto"/>
        </w:rPr>
        <w:t xml:space="preserve">. In the event an entty ceases to be a Subsidiary or afliate of the Company, such acton shall be deemed to be a terminaton of employment of all employees of that entty for purposes of this Agreement, resultng in any then unvested Sign-On LTIP Units, without payment of any consideraton by the Partnership, being automatcally and without notce forfeited,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that the Commitee, in its sole and absolute discreton, may make provision in such circumstances for accelerated vestng of some or all of the Grantee’s remaining unvested Sign-On LTIP Units that have not previously been forfeited efectve immediately prior to such event.</w:t>
      </w:r>
    </w:p>
    <w:p>
      <w:pPr>
        <w:spacing w:after="0" w:line="210" w:lineRule="exact"/>
        <w:rPr>
          <w:rFonts w:ascii="Calibri" w:cs="Calibri" w:eastAsia="Calibri" w:hAnsi="Calibri"/>
          <w:sz w:val="21"/>
          <w:szCs w:val="21"/>
          <w:color w:val="auto"/>
        </w:rPr>
      </w:pPr>
    </w:p>
    <w:p>
      <w:pPr>
        <w:ind w:left="1940" w:hanging="636"/>
        <w:spacing w:after="0"/>
        <w:tabs>
          <w:tab w:leader="none" w:pos="1940" w:val="left"/>
        </w:tabs>
        <w:numPr>
          <w:ilvl w:val="1"/>
          <w:numId w:val="92"/>
        </w:numPr>
        <w:rPr>
          <w:rFonts w:ascii="Calibri" w:cs="Calibri" w:eastAsia="Calibri" w:hAnsi="Calibri"/>
          <w:sz w:val="22"/>
          <w:szCs w:val="22"/>
          <w:color w:val="auto"/>
        </w:rPr>
      </w:pPr>
      <w:r>
        <w:rPr>
          <w:rFonts w:ascii="Calibri" w:cs="Calibri" w:eastAsia="Calibri" w:hAnsi="Calibri"/>
          <w:sz w:val="22"/>
          <w:szCs w:val="22"/>
          <w:color w:val="auto"/>
        </w:rPr>
        <w:t>In the event of a Change of Control prior to March 1, 2029, then:</w:t>
      </w:r>
    </w:p>
    <w:p>
      <w:pPr>
        <w:spacing w:after="0" w:line="229" w:lineRule="exact"/>
        <w:rPr>
          <w:rFonts w:ascii="Calibri" w:cs="Calibri" w:eastAsia="Calibri" w:hAnsi="Calibri"/>
          <w:sz w:val="22"/>
          <w:szCs w:val="22"/>
          <w:color w:val="auto"/>
        </w:rPr>
      </w:pPr>
    </w:p>
    <w:p>
      <w:pPr>
        <w:jc w:val="both"/>
        <w:ind w:left="1960" w:firstLine="640"/>
        <w:spacing w:after="0" w:line="230" w:lineRule="auto"/>
        <w:tabs>
          <w:tab w:leader="none" w:pos="3248" w:val="left"/>
        </w:tabs>
        <w:numPr>
          <w:ilvl w:val="2"/>
          <w:numId w:val="92"/>
        </w:numPr>
        <w:rPr>
          <w:rFonts w:ascii="Calibri" w:cs="Calibri" w:eastAsia="Calibri" w:hAnsi="Calibri"/>
          <w:sz w:val="22"/>
          <w:szCs w:val="22"/>
          <w:color w:val="auto"/>
        </w:rPr>
      </w:pPr>
      <w:r>
        <w:rPr>
          <w:rFonts w:ascii="Calibri" w:cs="Calibri" w:eastAsia="Calibri" w:hAnsi="Calibri"/>
          <w:sz w:val="22"/>
          <w:szCs w:val="22"/>
          <w:color w:val="auto"/>
        </w:rPr>
        <w:t xml:space="preserve">if the Sign-On LTIP Units remain outstanding afer a Change of Control or equivalent replacement awards (as defned in </w:t>
      </w:r>
      <w:r>
        <w:rPr>
          <w:rFonts w:ascii="Calibri" w:cs="Calibri" w:eastAsia="Calibri" w:hAnsi="Calibri"/>
          <w:sz w:val="22"/>
          <w:szCs w:val="22"/>
          <w:u w:val="single" w:color="auto"/>
          <w:color w:val="auto"/>
        </w:rPr>
        <w:t>Secton 5(b)(iii)</w:t>
      </w:r>
      <w:r>
        <w:rPr>
          <w:rFonts w:ascii="Calibri" w:cs="Calibri" w:eastAsia="Calibri" w:hAnsi="Calibri"/>
          <w:sz w:val="22"/>
          <w:szCs w:val="22"/>
          <w:color w:val="auto"/>
        </w:rPr>
        <w:t xml:space="preserve"> hereof) are substtuted for the Sign-On LTIP Units at the tme of the Change of Control, then unvested Sign-On LTIP Units shall remain subject to vestng ted to the Grantee’s Contnuous Service untl March 1, 2029 as if no Change of Control had occurred, except that the Grantee shall become fully vested in such Sign-On LTIP Units immediately (A) upon the Grantee’s Qualifed Terminaton in connecton with or within twenty-four (24) months afer the Change of Control, or (B) upon the Grantee’s death, Disability or Retrement;</w:t>
      </w:r>
    </w:p>
    <w:p>
      <w:pPr>
        <w:spacing w:after="0" w:line="223" w:lineRule="exact"/>
        <w:rPr>
          <w:rFonts w:ascii="Calibri" w:cs="Calibri" w:eastAsia="Calibri" w:hAnsi="Calibri"/>
          <w:sz w:val="22"/>
          <w:szCs w:val="22"/>
          <w:color w:val="auto"/>
        </w:rPr>
      </w:pPr>
    </w:p>
    <w:p>
      <w:pPr>
        <w:jc w:val="both"/>
        <w:ind w:left="1960" w:firstLine="640"/>
        <w:spacing w:after="0" w:line="229" w:lineRule="auto"/>
        <w:tabs>
          <w:tab w:leader="none" w:pos="3243" w:val="left"/>
        </w:tabs>
        <w:numPr>
          <w:ilvl w:val="2"/>
          <w:numId w:val="92"/>
        </w:numPr>
        <w:rPr>
          <w:rFonts w:ascii="Calibri" w:cs="Calibri" w:eastAsia="Calibri" w:hAnsi="Calibri"/>
          <w:sz w:val="22"/>
          <w:szCs w:val="22"/>
          <w:color w:val="auto"/>
        </w:rPr>
      </w:pPr>
      <w:r>
        <w:rPr>
          <w:rFonts w:ascii="Calibri" w:cs="Calibri" w:eastAsia="Calibri" w:hAnsi="Calibri"/>
          <w:sz w:val="22"/>
          <w:szCs w:val="22"/>
          <w:color w:val="auto"/>
        </w:rPr>
        <w:t xml:space="preserve">if neither the Sign-On LTIP Units remain outstanding afer a Change of Control nor equivalent replacement awards (as defned in </w:t>
      </w:r>
      <w:r>
        <w:rPr>
          <w:rFonts w:ascii="Calibri" w:cs="Calibri" w:eastAsia="Calibri" w:hAnsi="Calibri"/>
          <w:sz w:val="22"/>
          <w:szCs w:val="22"/>
          <w:u w:val="single" w:color="auto"/>
          <w:color w:val="auto"/>
        </w:rPr>
        <w:t>Secton 5(b)(iii)</w:t>
      </w:r>
      <w:r>
        <w:rPr>
          <w:rFonts w:ascii="Calibri" w:cs="Calibri" w:eastAsia="Calibri" w:hAnsi="Calibri"/>
          <w:sz w:val="22"/>
          <w:szCs w:val="22"/>
          <w:color w:val="auto"/>
        </w:rPr>
        <w:t xml:space="preserve"> hereof) are substtuted for the Sign-On LTIP Units at the tme of the Change of Control, then the Grantee shall become fully vested in all unvested Sign-On LTIP Units as of the date of the Change of Control; 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w:t>
      </w:r>
    </w:p>
    <w:p>
      <w:pPr>
        <w:sectPr>
          <w:pgSz w:w="11900" w:h="16838" w:orient="portrait"/>
          <w:cols w:equalWidth="0" w:num="1">
            <w:col w:w="11240"/>
          </w:cols>
          <w:pgMar w:left="320" w:top="1394" w:right="339" w:bottom="1440" w:gutter="0" w:footer="0" w:header="0"/>
        </w:sectPr>
      </w:pPr>
    </w:p>
    <w:bookmarkStart w:id="90" w:name="page91"/>
    <w:bookmarkEnd w:id="90"/>
    <w:p>
      <w:pPr>
        <w:ind w:left="1960" w:firstLine="640"/>
        <w:spacing w:after="0" w:line="229" w:lineRule="auto"/>
        <w:tabs>
          <w:tab w:leader="none" w:pos="3252" w:val="left"/>
        </w:tabs>
        <w:numPr>
          <w:ilvl w:val="1"/>
          <w:numId w:val="93"/>
        </w:numPr>
        <w:rPr>
          <w:rFonts w:ascii="Calibri" w:cs="Calibri" w:eastAsia="Calibri" w:hAnsi="Calibri"/>
          <w:sz w:val="22"/>
          <w:szCs w:val="22"/>
          <w:color w:val="auto"/>
        </w:rPr>
      </w:pPr>
      <w:r>
        <w:rPr>
          <w:rFonts w:ascii="Calibri" w:cs="Calibri" w:eastAsia="Calibri" w:hAnsi="Calibri"/>
          <w:sz w:val="22"/>
          <w:szCs w:val="22"/>
          <w:color w:val="auto"/>
        </w:rPr>
        <w:t>an award shall qualify as an “equivalent replacement award” if the following conditons are met in the good faith discreton of the Commitee:</w:t>
      </w:r>
    </w:p>
    <w:p>
      <w:pPr>
        <w:spacing w:after="0" w:line="216" w:lineRule="exact"/>
        <w:rPr>
          <w:rFonts w:ascii="Calibri" w:cs="Calibri" w:eastAsia="Calibri" w:hAnsi="Calibri"/>
          <w:sz w:val="22"/>
          <w:szCs w:val="22"/>
          <w:color w:val="auto"/>
        </w:rPr>
      </w:pPr>
    </w:p>
    <w:p>
      <w:pPr>
        <w:jc w:val="both"/>
        <w:ind w:left="1960" w:firstLine="1288"/>
        <w:spacing w:after="0" w:line="233" w:lineRule="auto"/>
        <w:tabs>
          <w:tab w:leader="none" w:pos="3903" w:val="left"/>
        </w:tabs>
        <w:numPr>
          <w:ilvl w:val="2"/>
          <w:numId w:val="93"/>
        </w:numPr>
        <w:rPr>
          <w:rFonts w:ascii="Calibri" w:cs="Calibri" w:eastAsia="Calibri" w:hAnsi="Calibri"/>
          <w:sz w:val="22"/>
          <w:szCs w:val="22"/>
          <w:color w:val="auto"/>
        </w:rPr>
      </w:pPr>
      <w:r>
        <w:rPr>
          <w:rFonts w:ascii="Calibri" w:cs="Calibri" w:eastAsia="Calibri" w:hAnsi="Calibri"/>
          <w:sz w:val="22"/>
          <w:szCs w:val="22"/>
          <w:color w:val="auto"/>
        </w:rPr>
        <w:t>the replacement award is of the same type as the Sign-On LTIP Units being replaced, including, without limitaton, income tax atributes relatng to the extent and tming of recogniton of taxable income, gain or loss by the Grantee;</w:t>
      </w:r>
    </w:p>
    <w:p>
      <w:pPr>
        <w:spacing w:after="0" w:line="216" w:lineRule="exact"/>
        <w:rPr>
          <w:rFonts w:ascii="Calibri" w:cs="Calibri" w:eastAsia="Calibri" w:hAnsi="Calibri"/>
          <w:sz w:val="22"/>
          <w:szCs w:val="22"/>
          <w:color w:val="auto"/>
        </w:rPr>
      </w:pPr>
    </w:p>
    <w:p>
      <w:pPr>
        <w:ind w:left="1960" w:firstLine="1288"/>
        <w:spacing w:after="0" w:line="229" w:lineRule="auto"/>
        <w:tabs>
          <w:tab w:leader="none" w:pos="3896" w:val="left"/>
        </w:tabs>
        <w:numPr>
          <w:ilvl w:val="2"/>
          <w:numId w:val="93"/>
        </w:numPr>
        <w:rPr>
          <w:rFonts w:ascii="Calibri" w:cs="Calibri" w:eastAsia="Calibri" w:hAnsi="Calibri"/>
          <w:sz w:val="22"/>
          <w:szCs w:val="22"/>
          <w:color w:val="auto"/>
        </w:rPr>
      </w:pPr>
      <w:r>
        <w:rPr>
          <w:rFonts w:ascii="Calibri" w:cs="Calibri" w:eastAsia="Calibri" w:hAnsi="Calibri"/>
          <w:sz w:val="22"/>
          <w:szCs w:val="22"/>
          <w:color w:val="auto"/>
        </w:rPr>
        <w:t>the replacement award has a value equal to the Fair Market Value of the Sign-On LTIP Units being replaced as of the efectve date of the Change of Control;</w:t>
      </w:r>
    </w:p>
    <w:p>
      <w:pPr>
        <w:spacing w:after="0" w:line="216" w:lineRule="exact"/>
        <w:rPr>
          <w:rFonts w:ascii="Calibri" w:cs="Calibri" w:eastAsia="Calibri" w:hAnsi="Calibri"/>
          <w:sz w:val="22"/>
          <w:szCs w:val="22"/>
          <w:color w:val="auto"/>
        </w:rPr>
      </w:pPr>
    </w:p>
    <w:p>
      <w:pPr>
        <w:jc w:val="both"/>
        <w:ind w:left="1960" w:firstLine="1288"/>
        <w:spacing w:after="0" w:line="233" w:lineRule="auto"/>
        <w:tabs>
          <w:tab w:leader="none" w:pos="3894" w:val="left"/>
        </w:tabs>
        <w:numPr>
          <w:ilvl w:val="2"/>
          <w:numId w:val="93"/>
        </w:numPr>
        <w:rPr>
          <w:rFonts w:ascii="Calibri" w:cs="Calibri" w:eastAsia="Calibri" w:hAnsi="Calibri"/>
          <w:sz w:val="22"/>
          <w:szCs w:val="22"/>
          <w:color w:val="auto"/>
        </w:rPr>
      </w:pPr>
      <w:r>
        <w:rPr>
          <w:rFonts w:ascii="Calibri" w:cs="Calibri" w:eastAsia="Calibri" w:hAnsi="Calibri"/>
          <w:sz w:val="22"/>
          <w:szCs w:val="22"/>
          <w:color w:val="auto"/>
        </w:rPr>
        <w:t>the equity securites issuable upon the conversion, exercise, exchange or redempton of the replacement award, or securites underlying the replacement award, as applicable, are listed on a natonal stock exchange;</w:t>
      </w:r>
    </w:p>
    <w:p>
      <w:pPr>
        <w:spacing w:after="0" w:line="216" w:lineRule="exact"/>
        <w:rPr>
          <w:rFonts w:ascii="Calibri" w:cs="Calibri" w:eastAsia="Calibri" w:hAnsi="Calibri"/>
          <w:sz w:val="22"/>
          <w:szCs w:val="22"/>
          <w:color w:val="auto"/>
        </w:rPr>
      </w:pPr>
    </w:p>
    <w:p>
      <w:pPr>
        <w:jc w:val="both"/>
        <w:ind w:left="1960" w:firstLine="1288"/>
        <w:spacing w:after="0" w:line="229" w:lineRule="auto"/>
        <w:tabs>
          <w:tab w:leader="none" w:pos="3898" w:val="left"/>
        </w:tabs>
        <w:numPr>
          <w:ilvl w:val="2"/>
          <w:numId w:val="93"/>
        </w:numPr>
        <w:rPr>
          <w:rFonts w:ascii="Calibri" w:cs="Calibri" w:eastAsia="Calibri" w:hAnsi="Calibri"/>
          <w:sz w:val="22"/>
          <w:szCs w:val="22"/>
          <w:color w:val="auto"/>
        </w:rPr>
      </w:pPr>
      <w:r>
        <w:rPr>
          <w:rFonts w:ascii="Calibri" w:cs="Calibri" w:eastAsia="Calibri" w:hAnsi="Calibri"/>
          <w:sz w:val="22"/>
          <w:szCs w:val="22"/>
          <w:color w:val="auto"/>
        </w:rPr>
        <w:t>the replacement award contains terms relatng to vestng (including with respect to the Grantee’s Qualifed Terminaton, death, Disability or Retrement) that are substantally identcal to those of the Sign-On LTIP Units; and</w:t>
      </w:r>
    </w:p>
    <w:p>
      <w:pPr>
        <w:spacing w:after="0" w:line="216" w:lineRule="exact"/>
        <w:rPr>
          <w:rFonts w:ascii="Calibri" w:cs="Calibri" w:eastAsia="Calibri" w:hAnsi="Calibri"/>
          <w:sz w:val="22"/>
          <w:szCs w:val="22"/>
          <w:color w:val="auto"/>
        </w:rPr>
      </w:pPr>
    </w:p>
    <w:p>
      <w:pPr>
        <w:ind w:left="1960" w:firstLine="1288"/>
        <w:spacing w:after="0" w:line="235" w:lineRule="auto"/>
        <w:tabs>
          <w:tab w:leader="none" w:pos="3897" w:val="left"/>
        </w:tabs>
        <w:numPr>
          <w:ilvl w:val="2"/>
          <w:numId w:val="93"/>
        </w:numPr>
        <w:rPr>
          <w:rFonts w:ascii="Calibri" w:cs="Calibri" w:eastAsia="Calibri" w:hAnsi="Calibri"/>
          <w:sz w:val="22"/>
          <w:szCs w:val="22"/>
          <w:color w:val="auto"/>
        </w:rPr>
      </w:pPr>
      <w:r>
        <w:rPr>
          <w:rFonts w:ascii="Calibri" w:cs="Calibri" w:eastAsia="Calibri" w:hAnsi="Calibri"/>
          <w:sz w:val="22"/>
          <w:szCs w:val="22"/>
          <w:color w:val="auto"/>
        </w:rPr>
        <w:t>the other terms and conditons of the replacement award are not less favorable to the Grantee than the terms and conditons of the Sign-On LTIP Units.</w:t>
      </w:r>
    </w:p>
    <w:p>
      <w:pPr>
        <w:spacing w:after="0" w:line="216" w:lineRule="exact"/>
        <w:rPr>
          <w:rFonts w:ascii="Calibri" w:cs="Calibri" w:eastAsia="Calibri" w:hAnsi="Calibri"/>
          <w:sz w:val="22"/>
          <w:szCs w:val="22"/>
          <w:color w:val="auto"/>
        </w:rPr>
      </w:pPr>
    </w:p>
    <w:p>
      <w:pPr>
        <w:jc w:val="both"/>
        <w:ind w:firstLine="1304"/>
        <w:spacing w:after="0" w:line="230" w:lineRule="auto"/>
        <w:tabs>
          <w:tab w:leader="none" w:pos="1937" w:val="left"/>
        </w:tabs>
        <w:numPr>
          <w:ilvl w:val="0"/>
          <w:numId w:val="94"/>
        </w:numPr>
        <w:rPr>
          <w:rFonts w:ascii="Calibri" w:cs="Calibri" w:eastAsia="Calibri" w:hAnsi="Calibri"/>
          <w:sz w:val="22"/>
          <w:szCs w:val="22"/>
          <w:color w:val="auto"/>
        </w:rPr>
      </w:pPr>
      <w:r>
        <w:rPr>
          <w:rFonts w:ascii="Calibri" w:cs="Calibri" w:eastAsia="Calibri" w:hAnsi="Calibri"/>
          <w:sz w:val="22"/>
          <w:szCs w:val="22"/>
          <w:color w:val="auto"/>
        </w:rPr>
        <w:t xml:space="preserve">Except as otherwise provided in </w:t>
      </w:r>
      <w:r>
        <w:rPr>
          <w:rFonts w:ascii="Calibri" w:cs="Calibri" w:eastAsia="Calibri" w:hAnsi="Calibri"/>
          <w:sz w:val="22"/>
          <w:szCs w:val="22"/>
          <w:u w:val="single" w:color="auto"/>
          <w:color w:val="auto"/>
        </w:rPr>
        <w:t>Secton 5(b)</w:t>
      </w:r>
      <w:r>
        <w:rPr>
          <w:rFonts w:ascii="Calibri" w:cs="Calibri" w:eastAsia="Calibri" w:hAnsi="Calibri"/>
          <w:sz w:val="22"/>
          <w:szCs w:val="22"/>
          <w:color w:val="auto"/>
        </w:rPr>
        <w:t xml:space="preserve">, in the event of the Grantee’s Qualifed Terminaton, death, Retrement or Disability (as applicable below) prior to the end of the Restricted Period, conditoned upon the executon and delivery by the Grantee of a release of claims substantally in the form of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to the Severance Arrangement and the Grantee’s compliance with the restrictve covenants set forth in Secton 9 of the Grantee’s Service Agreement, the following provision of this </w:t>
      </w:r>
      <w:r>
        <w:rPr>
          <w:rFonts w:ascii="Calibri" w:cs="Calibri" w:eastAsia="Calibri" w:hAnsi="Calibri"/>
          <w:sz w:val="22"/>
          <w:szCs w:val="22"/>
          <w:u w:val="single" w:color="auto"/>
          <w:color w:val="auto"/>
        </w:rPr>
        <w:t>Secton 5(c)</w:t>
      </w:r>
      <w:r>
        <w:rPr>
          <w:rFonts w:ascii="Calibri" w:cs="Calibri" w:eastAsia="Calibri" w:hAnsi="Calibri"/>
          <w:sz w:val="22"/>
          <w:szCs w:val="22"/>
          <w:color w:val="auto"/>
        </w:rPr>
        <w:t xml:space="preserve"> shall modify the vestng for the Grantee, subject, in each case, to the provisions of Sectons 6.4 and 6.5 of the Stock Plan: if Grantee experiences a Qualifed Terminaton, Retrement, death or Disability any porton of the Sign-On LTIP Units that has not then vested shall become fully vested immediately upon the Grantee’s Qualifed Terminaton, death, Disability or Retrement.</w:t>
      </w:r>
    </w:p>
    <w:p>
      <w:pPr>
        <w:spacing w:after="0" w:line="222" w:lineRule="exact"/>
        <w:rPr>
          <w:rFonts w:ascii="Calibri" w:cs="Calibri" w:eastAsia="Calibri" w:hAnsi="Calibri"/>
          <w:sz w:val="22"/>
          <w:szCs w:val="22"/>
          <w:color w:val="auto"/>
        </w:rPr>
      </w:pPr>
    </w:p>
    <w:p>
      <w:pPr>
        <w:jc w:val="both"/>
        <w:ind w:firstLine="1304"/>
        <w:spacing w:after="0" w:line="231" w:lineRule="auto"/>
        <w:tabs>
          <w:tab w:leader="none" w:pos="1932" w:val="left"/>
        </w:tabs>
        <w:numPr>
          <w:ilvl w:val="0"/>
          <w:numId w:val="94"/>
        </w:numPr>
        <w:rPr>
          <w:rFonts w:ascii="Calibri" w:cs="Calibri" w:eastAsia="Calibri" w:hAnsi="Calibri"/>
          <w:sz w:val="22"/>
          <w:szCs w:val="22"/>
          <w:color w:val="auto"/>
        </w:rPr>
      </w:pPr>
      <w:r>
        <w:rPr>
          <w:rFonts w:ascii="Calibri" w:cs="Calibri" w:eastAsia="Calibri" w:hAnsi="Calibri"/>
          <w:sz w:val="22"/>
          <w:szCs w:val="22"/>
          <w:color w:val="auto"/>
        </w:rPr>
        <w:t xml:space="preserve">In the event of a terminaton of employment or other cessaton of the Grantee’s Contnuous Service prior to the end of the Restricted Period, efectve as of the date of such terminaton or cessaton, all Sign-On LTIP Units except for those that had previously vested pursuant to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hereof and those that otherwise become vested pursuant to this </w:t>
      </w:r>
      <w:r>
        <w:rPr>
          <w:rFonts w:ascii="Calibri" w:cs="Calibri" w:eastAsia="Calibri" w:hAnsi="Calibri"/>
          <w:sz w:val="22"/>
          <w:szCs w:val="22"/>
          <w:u w:val="single" w:color="auto"/>
          <w:color w:val="auto"/>
        </w:rPr>
        <w:t>Secton</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shall automatcally and immediately be forfeited by the Grantee. Any forfeited Sign-On LTIP Units shall, without payment of any consideraton by the Partnership, automatcally and without notce be and become null and void, and neither the Grantee nor any of his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7</w:t>
      </w:r>
    </w:p>
    <w:p>
      <w:pPr>
        <w:sectPr>
          <w:pgSz w:w="11900" w:h="16838" w:orient="portrait"/>
          <w:cols w:equalWidth="0" w:num="1">
            <w:col w:w="11240"/>
          </w:cols>
          <w:pgMar w:left="320" w:top="1407" w:right="339" w:bottom="1440" w:gutter="0" w:footer="0" w:header="0"/>
        </w:sectPr>
      </w:pPr>
    </w:p>
    <w:bookmarkStart w:id="91" w:name="page92"/>
    <w:bookmarkEnd w:id="91"/>
    <w:p>
      <w:pPr>
        <w:spacing w:after="0" w:line="229" w:lineRule="auto"/>
        <w:rPr>
          <w:sz w:val="20"/>
          <w:szCs w:val="20"/>
          <w:color w:val="auto"/>
        </w:rPr>
      </w:pPr>
      <w:r>
        <w:rPr>
          <w:rFonts w:ascii="Calibri" w:cs="Calibri" w:eastAsia="Calibri" w:hAnsi="Calibri"/>
          <w:sz w:val="22"/>
          <w:szCs w:val="22"/>
          <w:color w:val="auto"/>
        </w:rPr>
        <w:t>successors, heirs, assigns, or personal representatves will thereafer have any further rights or interests in such forfeited Sign-On LTIP Units.</w:t>
      </w:r>
    </w:p>
    <w:p>
      <w:pPr>
        <w:spacing w:after="0" w:line="217" w:lineRule="exact"/>
        <w:rPr>
          <w:sz w:val="20"/>
          <w:szCs w:val="20"/>
          <w:color w:val="auto"/>
        </w:rPr>
      </w:pPr>
    </w:p>
    <w:p>
      <w:pPr>
        <w:ind w:firstLine="656"/>
        <w:spacing w:after="0" w:line="235" w:lineRule="auto"/>
        <w:tabs>
          <w:tab w:leader="none" w:pos="1284" w:val="left"/>
        </w:tabs>
        <w:numPr>
          <w:ilvl w:val="0"/>
          <w:numId w:val="95"/>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Payments by Award Recipients</w:t>
      </w:r>
      <w:r>
        <w:rPr>
          <w:rFonts w:ascii="Calibri" w:cs="Calibri" w:eastAsia="Calibri" w:hAnsi="Calibri"/>
          <w:sz w:val="22"/>
          <w:szCs w:val="22"/>
          <w:u w:val="single" w:color="auto"/>
          <w:color w:val="auto"/>
        </w:rPr>
        <w: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No amount shall be payable to the Company or the Partnership by the Grantee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at any tme in respect of this Award.</w:t>
      </w:r>
    </w:p>
    <w:p>
      <w:pPr>
        <w:spacing w:after="0" w:line="216" w:lineRule="exact"/>
        <w:rPr>
          <w:rFonts w:ascii="Calibri" w:cs="Calibri" w:eastAsia="Calibri" w:hAnsi="Calibri"/>
          <w:sz w:val="22"/>
          <w:szCs w:val="22"/>
          <w:color w:val="auto"/>
        </w:rPr>
      </w:pPr>
    </w:p>
    <w:p>
      <w:pPr>
        <w:ind w:firstLine="656"/>
        <w:spacing w:after="0" w:line="229" w:lineRule="auto"/>
        <w:tabs>
          <w:tab w:leader="none" w:pos="1284" w:val="left"/>
        </w:tabs>
        <w:numPr>
          <w:ilvl w:val="0"/>
          <w:numId w:val="95"/>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Distributons.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Distributons on Sign-On LTIP Units will be paid in accordance with the Partnership Agreement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modifed hereby as follows:</w:t>
      </w:r>
    </w:p>
    <w:p>
      <w:pPr>
        <w:spacing w:after="0" w:line="216" w:lineRule="exact"/>
        <w:rPr>
          <w:rFonts w:ascii="Calibri" w:cs="Calibri" w:eastAsia="Calibri" w:hAnsi="Calibri"/>
          <w:sz w:val="22"/>
          <w:szCs w:val="22"/>
          <w:color w:val="auto"/>
        </w:rPr>
      </w:pPr>
    </w:p>
    <w:p>
      <w:pPr>
        <w:jc w:val="both"/>
        <w:ind w:firstLine="1304"/>
        <w:spacing w:after="0" w:line="231" w:lineRule="auto"/>
        <w:tabs>
          <w:tab w:leader="none" w:pos="1935" w:val="left"/>
        </w:tabs>
        <w:numPr>
          <w:ilvl w:val="1"/>
          <w:numId w:val="95"/>
        </w:numPr>
        <w:rPr>
          <w:rFonts w:ascii="Calibri" w:cs="Calibri" w:eastAsia="Calibri" w:hAnsi="Calibri"/>
          <w:sz w:val="22"/>
          <w:szCs w:val="22"/>
          <w:color w:val="auto"/>
        </w:rPr>
      </w:pPr>
      <w:r>
        <w:rPr>
          <w:rFonts w:ascii="Calibri" w:cs="Calibri" w:eastAsia="Calibri" w:hAnsi="Calibri"/>
          <w:sz w:val="22"/>
          <w:szCs w:val="22"/>
          <w:color w:val="auto"/>
        </w:rPr>
        <w:t>The LTIP Unit Distributon Partcipaton Date (as defned in the Partnership Agreement) with respect to the Sign-On LTIP Units shall be the Efectve Date and the Sign-On LTIP Units shall be enttled to the full distributon payable on Units outstanding as of the record date for the quarterly distributon in which the Efectve Date falls even though the Sign-On LTIP Units will not have been outstanding for the whole quarterly period. All distributons paid with respect to Sign-On LTIP Units shall be fully vested and non-forfeitable when paid whether the underlying Sign-On LTIP Units are vested or unvested.</w:t>
      </w:r>
    </w:p>
    <w:p>
      <w:pPr>
        <w:spacing w:after="0" w:line="219" w:lineRule="exact"/>
        <w:rPr>
          <w:rFonts w:ascii="Calibri" w:cs="Calibri" w:eastAsia="Calibri" w:hAnsi="Calibri"/>
          <w:sz w:val="22"/>
          <w:szCs w:val="22"/>
          <w:color w:val="auto"/>
        </w:rPr>
      </w:pPr>
    </w:p>
    <w:p>
      <w:pPr>
        <w:jc w:val="both"/>
        <w:ind w:firstLine="1304"/>
        <w:spacing w:after="0" w:line="232" w:lineRule="auto"/>
        <w:tabs>
          <w:tab w:leader="none" w:pos="1932" w:val="left"/>
        </w:tabs>
        <w:numPr>
          <w:ilvl w:val="1"/>
          <w:numId w:val="95"/>
        </w:numPr>
        <w:rPr>
          <w:rFonts w:ascii="Calibri" w:cs="Calibri" w:eastAsia="Calibri" w:hAnsi="Calibri"/>
          <w:sz w:val="22"/>
          <w:szCs w:val="22"/>
          <w:color w:val="auto"/>
        </w:rPr>
      </w:pPr>
      <w:r>
        <w:rPr>
          <w:rFonts w:ascii="Calibri" w:cs="Calibri" w:eastAsia="Calibri" w:hAnsi="Calibri"/>
          <w:sz w:val="22"/>
          <w:szCs w:val="22"/>
          <w:color w:val="auto"/>
        </w:rPr>
        <w:t>To the extent that the Partnership makes distributons to holders of Units partally in cash and partally in additonal Units or other securites, unless the Commitee in its sole discreton determines to allow the Grantee to make a diferent electon, the Grantee shall be deemed to have elected with respect to all Sign-On LTIP Units eligible to receive such distributon to receive 10% of such distributon in cash and 90% in Units.</w:t>
      </w:r>
    </w:p>
    <w:p>
      <w:pPr>
        <w:spacing w:after="0" w:line="217" w:lineRule="exact"/>
        <w:rPr>
          <w:rFonts w:ascii="Calibri" w:cs="Calibri" w:eastAsia="Calibri" w:hAnsi="Calibri"/>
          <w:sz w:val="22"/>
          <w:szCs w:val="22"/>
          <w:color w:val="auto"/>
        </w:rPr>
      </w:pPr>
    </w:p>
    <w:p>
      <w:pPr>
        <w:jc w:val="both"/>
        <w:ind w:firstLine="656"/>
        <w:spacing w:after="0" w:line="242" w:lineRule="auto"/>
        <w:tabs>
          <w:tab w:leader="none" w:pos="1284" w:val="left"/>
        </w:tabs>
        <w:numPr>
          <w:ilvl w:val="0"/>
          <w:numId w:val="95"/>
        </w:numPr>
        <w:rPr>
          <w:rFonts w:ascii="Calibri" w:cs="Calibri" w:eastAsia="Calibri" w:hAnsi="Calibri"/>
          <w:sz w:val="21"/>
          <w:szCs w:val="21"/>
          <w:color w:val="auto"/>
        </w:rPr>
      </w:pPr>
      <w:r>
        <w:rPr>
          <w:rFonts w:ascii="Calibri" w:cs="Calibri" w:eastAsia="Calibri" w:hAnsi="Calibri"/>
          <w:sz w:val="21"/>
          <w:szCs w:val="21"/>
          <w:b w:val="1"/>
          <w:bCs w:val="1"/>
          <w:u w:val="single" w:color="auto"/>
          <w:color w:val="auto"/>
        </w:rPr>
        <w:t>Restrictons on Transfer</w:t>
      </w:r>
      <w:r>
        <w:rPr>
          <w:rFonts w:ascii="Calibri" w:cs="Calibri" w:eastAsia="Calibri" w:hAnsi="Calibri"/>
          <w:sz w:val="21"/>
          <w:szCs w:val="21"/>
          <w:u w:val="single" w:color="auto"/>
          <w:color w:val="auto"/>
        </w:rPr>
        <w: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None of the Sign-On LTIP Units shall be sold, assigned, transferred, pledged or</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otherwise disposed of or encumbered (whether voluntarily or involuntarily or by judgment, levy, atachment, garnishment or other legal or equitable proceeding) (each such acton a “</w:t>
      </w:r>
      <w:r>
        <w:rPr>
          <w:rFonts w:ascii="Calibri" w:cs="Calibri" w:eastAsia="Calibri" w:hAnsi="Calibri"/>
          <w:sz w:val="21"/>
          <w:szCs w:val="21"/>
          <w:u w:val="single" w:color="auto"/>
          <w:color w:val="auto"/>
        </w:rPr>
        <w:t>Transfer</w:t>
      </w:r>
      <w:r>
        <w:rPr>
          <w:rFonts w:ascii="Calibri" w:cs="Calibri" w:eastAsia="Calibri" w:hAnsi="Calibri"/>
          <w:sz w:val="21"/>
          <w:szCs w:val="21"/>
          <w:color w:val="auto"/>
        </w:rPr>
        <w:t>”), or redeemed in accordance with the Partnership Agreement (a) prior to vestng, and (b) unless such Transfer is in compliance with all applicable securites laws (including, without limitaton, the Securites Act of 1933, as amended (the “</w:t>
      </w:r>
      <w:r>
        <w:rPr>
          <w:rFonts w:ascii="Calibri" w:cs="Calibri" w:eastAsia="Calibri" w:hAnsi="Calibri"/>
          <w:sz w:val="21"/>
          <w:szCs w:val="21"/>
          <w:u w:val="single" w:color="auto"/>
          <w:color w:val="auto"/>
        </w:rPr>
        <w:t>Securites Act</w:t>
      </w:r>
      <w:r>
        <w:rPr>
          <w:rFonts w:ascii="Calibri" w:cs="Calibri" w:eastAsia="Calibri" w:hAnsi="Calibri"/>
          <w:sz w:val="21"/>
          <w:szCs w:val="21"/>
          <w:color w:val="auto"/>
        </w:rPr>
        <w:t xml:space="preserve">”)), and such Transfer is in accordance with the applicable terms and conditons of the Partnership Agreement; provided, however, that clause (a) above shall not apply with respect to (i) the conversion into Units of Sign-On LTIP Units that have become vested in accordance with </w:t>
      </w:r>
      <w:r>
        <w:rPr>
          <w:rFonts w:ascii="Calibri" w:cs="Calibri" w:eastAsia="Calibri" w:hAnsi="Calibri"/>
          <w:sz w:val="21"/>
          <w:szCs w:val="21"/>
          <w:u w:val="single" w:color="auto"/>
          <w:color w:val="auto"/>
        </w:rPr>
        <w:t>Sectons 4 or 5</w:t>
      </w:r>
      <w:r>
        <w:rPr>
          <w:rFonts w:ascii="Calibri" w:cs="Calibri" w:eastAsia="Calibri" w:hAnsi="Calibri"/>
          <w:sz w:val="21"/>
          <w:szCs w:val="21"/>
          <w:color w:val="auto"/>
        </w:rPr>
        <w:t xml:space="preserve"> hereof (“</w:t>
      </w:r>
      <w:r>
        <w:rPr>
          <w:rFonts w:ascii="Calibri" w:cs="Calibri" w:eastAsia="Calibri" w:hAnsi="Calibri"/>
          <w:sz w:val="21"/>
          <w:szCs w:val="21"/>
          <w:u w:val="single" w:color="auto"/>
          <w:color w:val="auto"/>
        </w:rPr>
        <w:t>Converted LTIP Units</w:t>
      </w:r>
      <w:r>
        <w:rPr>
          <w:rFonts w:ascii="Calibri" w:cs="Calibri" w:eastAsia="Calibri" w:hAnsi="Calibri"/>
          <w:sz w:val="21"/>
          <w:szCs w:val="21"/>
          <w:color w:val="auto"/>
        </w:rPr>
        <w:t xml:space="preserve">”) or (ii) any Transfer either of Sign-On LTIP Units that have become vested in accordance with </w:t>
      </w:r>
      <w:r>
        <w:rPr>
          <w:rFonts w:ascii="Calibri" w:cs="Calibri" w:eastAsia="Calibri" w:hAnsi="Calibri"/>
          <w:sz w:val="21"/>
          <w:szCs w:val="21"/>
          <w:u w:val="single" w:color="auto"/>
          <w:color w:val="auto"/>
        </w:rPr>
        <w:t>Sectons 4</w:t>
      </w:r>
      <w:r>
        <w:rPr>
          <w:rFonts w:ascii="Calibri" w:cs="Calibri" w:eastAsia="Calibri" w:hAnsi="Calibri"/>
          <w:sz w:val="21"/>
          <w:szCs w:val="21"/>
          <w:color w:val="auto"/>
        </w:rPr>
        <w:t xml:space="preserve"> </w:t>
      </w:r>
      <w:r>
        <w:rPr>
          <w:rFonts w:ascii="Calibri" w:cs="Calibri" w:eastAsia="Calibri" w:hAnsi="Calibri"/>
          <w:sz w:val="21"/>
          <w:szCs w:val="21"/>
          <w:u w:val="single" w:color="auto"/>
          <w:color w:val="auto"/>
        </w:rPr>
        <w:t>or 5</w:t>
      </w:r>
      <w:r>
        <w:rPr>
          <w:rFonts w:ascii="Calibri" w:cs="Calibri" w:eastAsia="Calibri" w:hAnsi="Calibri"/>
          <w:sz w:val="21"/>
          <w:szCs w:val="21"/>
          <w:color w:val="auto"/>
        </w:rPr>
        <w:t xml:space="preserve"> hereof or of Converted LTIP Units, so long as such Transfer is (A) permited under the Partnership Agreement and (B) in connecton with donatve, estate or tax planning by the Grantee; and provided, further, that the Transferee agrees in writng with the Company and the Partnership not to make any further Transfer of such vested Sign-On LTIP Units or Converted LTIP Units other than as permited by this </w:t>
      </w:r>
      <w:r>
        <w:rPr>
          <w:rFonts w:ascii="Calibri" w:cs="Calibri" w:eastAsia="Calibri" w:hAnsi="Calibri"/>
          <w:sz w:val="21"/>
          <w:szCs w:val="21"/>
          <w:u w:val="single" w:color="auto"/>
          <w:color w:val="auto"/>
        </w:rPr>
        <w:t>Secton 8</w:t>
      </w:r>
      <w:r>
        <w:rPr>
          <w:rFonts w:ascii="Calibri" w:cs="Calibri" w:eastAsia="Calibri" w:hAnsi="Calibri"/>
          <w:sz w:val="21"/>
          <w:szCs w:val="21"/>
          <w:color w:val="auto"/>
        </w:rPr>
        <w:t xml:space="preserve">. In connecton with any Transfer of Sign-On LTIP Units or Converted LTIP Units, the Partnership may require the Grantee to provide an opinion of counsel, satsfactory to the Partnership, that such Transfer is in compliance with all federal and state securites laws (including, without limitaton, the Securites Act). Any atempted Transfer of Sign-On LTIP Units not in accordance with the terms and conditons of this </w:t>
      </w:r>
      <w:r>
        <w:rPr>
          <w:rFonts w:ascii="Calibri" w:cs="Calibri" w:eastAsia="Calibri" w:hAnsi="Calibri"/>
          <w:sz w:val="21"/>
          <w:szCs w:val="21"/>
          <w:u w:val="single" w:color="auto"/>
          <w:color w:val="auto"/>
        </w:rPr>
        <w:t>Secton 8</w:t>
      </w:r>
      <w:r>
        <w:rPr>
          <w:rFonts w:ascii="Calibri" w:cs="Calibri" w:eastAsia="Calibri" w:hAnsi="Calibri"/>
          <w:sz w:val="21"/>
          <w:szCs w:val="21"/>
          <w:color w:val="auto"/>
        </w:rPr>
        <w:t xml:space="preserve"> shall be null and void, and the Partnership shall not refect on its records any change in record ownership of any Sign-On LTIP Units as a result of any such Transfer, shall otherwise refuse to recognize any such Transfer and shall not in any way give efect to any such Transfer of 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8</w:t>
      </w:r>
    </w:p>
    <w:p>
      <w:pPr>
        <w:sectPr>
          <w:pgSz w:w="11900" w:h="16838" w:orient="portrait"/>
          <w:cols w:equalWidth="0" w:num="1">
            <w:col w:w="11240"/>
          </w:cols>
          <w:pgMar w:left="320" w:top="1407" w:right="339" w:bottom="1440" w:gutter="0" w:footer="0" w:header="0"/>
        </w:sectPr>
      </w:pPr>
    </w:p>
    <w:bookmarkStart w:id="92" w:name="page93"/>
    <w:bookmarkEnd w:id="92"/>
    <w:p>
      <w:pPr>
        <w:jc w:val="both"/>
        <w:spacing w:after="0" w:line="229" w:lineRule="auto"/>
        <w:rPr>
          <w:sz w:val="20"/>
          <w:szCs w:val="20"/>
          <w:color w:val="auto"/>
        </w:rPr>
      </w:pPr>
      <w:r>
        <w:rPr>
          <w:rFonts w:ascii="Calibri" w:cs="Calibri" w:eastAsia="Calibri" w:hAnsi="Calibri"/>
          <w:sz w:val="22"/>
          <w:szCs w:val="22"/>
          <w:color w:val="auto"/>
        </w:rPr>
        <w:t xml:space="preserve">Sign-On LTIP Units. The restrictons on Transfer in this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shall not be interpreted to prohibit the Grantee from designatng one or more benefciaries to receive the Grantee’s LTIP Units or Converted LTIP Units that are payable in the event of the Grantee’s death. Any such benefciary designaton shall be on a form provided or approved by the Company.</w:t>
      </w:r>
    </w:p>
    <w:p>
      <w:pPr>
        <w:spacing w:after="0" w:line="230" w:lineRule="exact"/>
        <w:rPr>
          <w:sz w:val="20"/>
          <w:szCs w:val="20"/>
          <w:color w:val="auto"/>
        </w:rPr>
      </w:pPr>
    </w:p>
    <w:p>
      <w:pPr>
        <w:jc w:val="both"/>
        <w:ind w:firstLine="656"/>
        <w:spacing w:after="0" w:line="242" w:lineRule="auto"/>
        <w:tabs>
          <w:tab w:leader="none" w:pos="1284" w:val="left"/>
        </w:tabs>
        <w:numPr>
          <w:ilvl w:val="0"/>
          <w:numId w:val="96"/>
        </w:numPr>
        <w:rPr>
          <w:rFonts w:ascii="Calibri" w:cs="Calibri" w:eastAsia="Calibri" w:hAnsi="Calibri"/>
          <w:sz w:val="21"/>
          <w:szCs w:val="21"/>
          <w:color w:val="auto"/>
        </w:rPr>
      </w:pPr>
      <w:r>
        <w:rPr>
          <w:rFonts w:ascii="Calibri" w:cs="Calibri" w:eastAsia="Calibri" w:hAnsi="Calibri"/>
          <w:sz w:val="21"/>
          <w:szCs w:val="21"/>
          <w:b w:val="1"/>
          <w:bCs w:val="1"/>
          <w:u w:val="single" w:color="auto"/>
          <w:color w:val="auto"/>
        </w:rPr>
        <w:t>Changes in Capital Structure</w:t>
      </w:r>
      <w:r>
        <w:rPr>
          <w:rFonts w:ascii="Calibri" w:cs="Calibri" w:eastAsia="Calibri" w:hAnsi="Calibri"/>
          <w:sz w:val="21"/>
          <w:szCs w:val="21"/>
          <w:u w:val="single" w:color="auto"/>
          <w:color w:val="auto"/>
        </w:rPr>
        <w: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Without duplicaton with the provisions of Secton 6.2 of the Stock Plan, if (a) the</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Company shall at any tme be involved in a merger, consolidaton, dissoluton, liquidaton, reorganizaton, exchange of shares, sale of all or substantally all of the assets or stock of the Company, spin-of of a Subsidiary, business unit or signifcant porton of assets or other fundamental transacton similar thereto, (b) any stock dividend, stock split, reverse stock split, stock combinaton, reclassifcaton, recapitalizaton, signifcant repurchases of stock, or other similar change in the capital structure of the Company shall occur, (c) any extraordinary dividend or other distributon to holders of shares of Common Stock or Units other than regular cash dividends shall be made, or (d) any other event shall occur that in each case in the good faith judgment of the Commitee necessitates acton by way of appropriate equitable adjustment in the terms of this Award, the LTIP or the Sign-On LTIP Units, then the Commitee shall take such acton as it deems necessary to maintain the Grantee’s rights hereunder so that they are substantally proportonate to the rights existng under this Award, the LTIP and the terms of the Sign-On LTIP Units prior to such event, including, without limitaton: (i) adjustments in the Sign-On LTIP Units or other pertnent terms of this Award; and (ii) substtuton of other awards under the Stock Plan or otherwise. The Grantee shall have the right to vote the Sign-On LTIP Units if and when votng is allowed under the Partnership Agreement, regardless of whether vestng has occurred.</w:t>
      </w:r>
    </w:p>
    <w:p>
      <w:pPr>
        <w:spacing w:after="0" w:line="206" w:lineRule="exact"/>
        <w:rPr>
          <w:rFonts w:ascii="Calibri" w:cs="Calibri" w:eastAsia="Calibri" w:hAnsi="Calibri"/>
          <w:sz w:val="21"/>
          <w:szCs w:val="21"/>
          <w:color w:val="auto"/>
        </w:rPr>
      </w:pPr>
    </w:p>
    <w:p>
      <w:pPr>
        <w:ind w:left="1300" w:hanging="644"/>
        <w:spacing w:after="0"/>
        <w:tabs>
          <w:tab w:leader="none" w:pos="1300" w:val="left"/>
        </w:tabs>
        <w:numPr>
          <w:ilvl w:val="0"/>
          <w:numId w:val="96"/>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Miscellaneous.</w:t>
      </w:r>
    </w:p>
    <w:p>
      <w:pPr>
        <w:spacing w:after="0" w:line="214" w:lineRule="exact"/>
        <w:rPr>
          <w:rFonts w:ascii="Calibri" w:cs="Calibri" w:eastAsia="Calibri" w:hAnsi="Calibri"/>
          <w:sz w:val="22"/>
          <w:szCs w:val="22"/>
          <w:color w:val="auto"/>
        </w:rPr>
      </w:pPr>
    </w:p>
    <w:p>
      <w:pPr>
        <w:jc w:val="both"/>
        <w:ind w:firstLine="1304"/>
        <w:spacing w:after="0" w:line="242" w:lineRule="auto"/>
        <w:tabs>
          <w:tab w:leader="none" w:pos="1935" w:val="left"/>
        </w:tabs>
        <w:numPr>
          <w:ilvl w:val="1"/>
          <w:numId w:val="96"/>
        </w:numPr>
        <w:rPr>
          <w:rFonts w:ascii="Calibri" w:cs="Calibri" w:eastAsia="Calibri" w:hAnsi="Calibri"/>
          <w:sz w:val="21"/>
          <w:szCs w:val="21"/>
          <w:color w:val="auto"/>
        </w:rPr>
      </w:pPr>
      <w:r>
        <w:rPr>
          <w:rFonts w:ascii="Calibri" w:cs="Calibri" w:eastAsia="Calibri" w:hAnsi="Calibri"/>
          <w:sz w:val="21"/>
          <w:szCs w:val="21"/>
          <w:u w:val="single" w:color="auto"/>
          <w:color w:val="auto"/>
        </w:rPr>
        <w:t>Amendments; Modifcatons</w:t>
      </w:r>
      <w:r>
        <w:rPr>
          <w:rFonts w:ascii="Calibri" w:cs="Calibri" w:eastAsia="Calibri" w:hAnsi="Calibri"/>
          <w:sz w:val="21"/>
          <w:szCs w:val="21"/>
          <w:color w:val="auto"/>
        </w:rPr>
        <w:t xml:space="preserve">. This Agreement may be amended or modifed only with the consent of the Company and the Partnership;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that any such amendment or modifcaton materially and adversely afectng the rights of the Grantee hereunder must be consented to by the Grantee to be efectve as against him; and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w:t>
      </w:r>
      <w:r>
        <w:rPr>
          <w:rFonts w:ascii="Calibri" w:cs="Calibri" w:eastAsia="Calibri" w:hAnsi="Calibri"/>
          <w:sz w:val="21"/>
          <w:szCs w:val="21"/>
          <w:u w:val="single" w:color="auto"/>
          <w:color w:val="auto"/>
        </w:rPr>
        <w:t>further</w:t>
      </w:r>
      <w:r>
        <w:rPr>
          <w:rFonts w:ascii="Calibri" w:cs="Calibri" w:eastAsia="Calibri" w:hAnsi="Calibri"/>
          <w:sz w:val="21"/>
          <w:szCs w:val="21"/>
          <w:color w:val="auto"/>
        </w:rPr>
        <w:t>, that the Grantee acknowledges that the Stock Plan may be amended or discontnued in accordance with Secton 6.6 thereof and that this Agreement may be amended or canceled by the Commitee, on behalf of the Company and the Partnership, for the purpose of satsfying changes in law or for any other lawful purpose, so long as no such acton shall impair the Grantee’s rights under this Agreement without the Grantee’s writen consent. Notwithstanding the foregoing, this Agreement may be amended in writng signed only by the Company to correct any errors or ambiguites in this Agreement and/or to make such changes that do not materially adversely afect the Grantee’s rights hereunder. No promises, assurances, commitments, agreements, undertakings or representatons, whether oral, writen, electronic or otherwise, and whether express or implied, with respect to the subject mater hereof, have been made by the partes which are not set forth expressly in this Agreement. This grant shall in no way afect the Grantee’s partcipaton or benefts under any other plan or beneft program maintained or provided by 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9</w:t>
      </w:r>
    </w:p>
    <w:p>
      <w:pPr>
        <w:sectPr>
          <w:pgSz w:w="11900" w:h="16838" w:orient="portrait"/>
          <w:cols w:equalWidth="0" w:num="1">
            <w:col w:w="11240"/>
          </w:cols>
          <w:pgMar w:left="320" w:top="1407" w:right="339" w:bottom="1440" w:gutter="0" w:footer="0" w:header="0"/>
        </w:sectPr>
      </w:pPr>
    </w:p>
    <w:bookmarkStart w:id="93" w:name="page94"/>
    <w:bookmarkEnd w:id="93"/>
    <w:p>
      <w:pPr>
        <w:jc w:val="both"/>
        <w:ind w:firstLine="1304"/>
        <w:spacing w:after="0" w:line="231" w:lineRule="auto"/>
        <w:tabs>
          <w:tab w:leader="none" w:pos="1932" w:val="left"/>
        </w:tabs>
        <w:numPr>
          <w:ilvl w:val="0"/>
          <w:numId w:val="97"/>
        </w:numPr>
        <w:rPr>
          <w:rFonts w:ascii="Calibri" w:cs="Calibri" w:eastAsia="Calibri" w:hAnsi="Calibri"/>
          <w:sz w:val="22"/>
          <w:szCs w:val="22"/>
          <w:color w:val="auto"/>
        </w:rPr>
      </w:pPr>
      <w:r>
        <w:rPr>
          <w:rFonts w:ascii="Calibri" w:cs="Calibri" w:eastAsia="Calibri" w:hAnsi="Calibri"/>
          <w:sz w:val="22"/>
          <w:szCs w:val="22"/>
          <w:u w:val="single" w:color="auto"/>
          <w:color w:val="auto"/>
        </w:rPr>
        <w:t>Incorporaton of Stock Plan and Severance Arrangement; Commitee Determinatons</w:t>
      </w:r>
      <w:r>
        <w:rPr>
          <w:rFonts w:ascii="Calibri" w:cs="Calibri" w:eastAsia="Calibri" w:hAnsi="Calibri"/>
          <w:sz w:val="22"/>
          <w:szCs w:val="22"/>
          <w:color w:val="auto"/>
        </w:rPr>
        <w:t>. The provisions of the Stock Plan and the Severance Arrangement are hereby incorporated by reference as if set forth herein. In the event of a confict between this Agreement and the Stock Plan or this Agreement and the Severance Arrangement, this Agreement shall be controlling and determinatve, except as otherwise expressly indicated otherwise in the Stock Plan or the Severance Arrangement. The Commitee will make the determinatons and certfcatons required by this Award as promptly as reasonably practcable following the occurrence of the event or events necessitatng such determinatons or certfcatons.</w:t>
      </w:r>
    </w:p>
    <w:p>
      <w:pPr>
        <w:spacing w:after="0" w:line="217" w:lineRule="exact"/>
        <w:rPr>
          <w:rFonts w:ascii="Calibri" w:cs="Calibri" w:eastAsia="Calibri" w:hAnsi="Calibri"/>
          <w:sz w:val="22"/>
          <w:szCs w:val="22"/>
          <w:color w:val="auto"/>
        </w:rPr>
      </w:pPr>
    </w:p>
    <w:p>
      <w:pPr>
        <w:jc w:val="both"/>
        <w:ind w:firstLine="1304"/>
        <w:spacing w:after="0" w:line="231" w:lineRule="auto"/>
        <w:tabs>
          <w:tab w:leader="none" w:pos="1937" w:val="left"/>
        </w:tabs>
        <w:numPr>
          <w:ilvl w:val="0"/>
          <w:numId w:val="97"/>
        </w:numPr>
        <w:rPr>
          <w:rFonts w:ascii="Calibri" w:cs="Calibri" w:eastAsia="Calibri" w:hAnsi="Calibri"/>
          <w:sz w:val="22"/>
          <w:szCs w:val="22"/>
          <w:color w:val="auto"/>
        </w:rPr>
      </w:pPr>
      <w:r>
        <w:rPr>
          <w:rFonts w:ascii="Calibri" w:cs="Calibri" w:eastAsia="Calibri" w:hAnsi="Calibri"/>
          <w:sz w:val="22"/>
          <w:szCs w:val="22"/>
          <w:u w:val="single" w:color="auto"/>
          <w:color w:val="auto"/>
        </w:rPr>
        <w:t>Status as a Partner</w:t>
      </w:r>
      <w:r>
        <w:rPr>
          <w:rFonts w:ascii="Calibri" w:cs="Calibri" w:eastAsia="Calibri" w:hAnsi="Calibri"/>
          <w:sz w:val="22"/>
          <w:szCs w:val="22"/>
          <w:color w:val="auto"/>
        </w:rPr>
        <w:t xml:space="preserve">. As of the grant date set forth on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the Grantee shall be admited as a partner of the Partnership with benefcial ownership of the number of Sign-On LTIP Units issued to the Grantee as of such date pursuant to </w:t>
      </w:r>
      <w:r>
        <w:rPr>
          <w:rFonts w:ascii="Calibri" w:cs="Calibri" w:eastAsia="Calibri" w:hAnsi="Calibri"/>
          <w:sz w:val="22"/>
          <w:szCs w:val="22"/>
          <w:u w:val="single" w:color="auto"/>
          <w:color w:val="auto"/>
        </w:rPr>
        <w:t>Secton 3(a)</w:t>
      </w:r>
      <w:r>
        <w:rPr>
          <w:rFonts w:ascii="Calibri" w:cs="Calibri" w:eastAsia="Calibri" w:hAnsi="Calibri"/>
          <w:sz w:val="22"/>
          <w:szCs w:val="22"/>
          <w:color w:val="auto"/>
        </w:rPr>
        <w:t xml:space="preserve"> hereof by: (A) signing and delivering to the Partnership a copy of this Agreement; and (B) signing, as a Limited Partner, and delivering to the Partnership a counterpart signature page to the Partnership Agreement (atached hereto as </w:t>
      </w:r>
      <w:r>
        <w:rPr>
          <w:rFonts w:ascii="Calibri" w:cs="Calibri" w:eastAsia="Calibri" w:hAnsi="Calibri"/>
          <w:sz w:val="22"/>
          <w:szCs w:val="22"/>
          <w:u w:val="single" w:color="auto"/>
          <w:color w:val="auto"/>
        </w:rPr>
        <w:t>Exhibit A</w:t>
      </w:r>
      <w:r>
        <w:rPr>
          <w:rFonts w:ascii="Calibri" w:cs="Calibri" w:eastAsia="Calibri" w:hAnsi="Calibri"/>
          <w:sz w:val="22"/>
          <w:szCs w:val="22"/>
          <w:color w:val="auto"/>
        </w:rPr>
        <w:t>).</w:t>
      </w:r>
    </w:p>
    <w:p>
      <w:pPr>
        <w:spacing w:after="0" w:line="219" w:lineRule="exact"/>
        <w:rPr>
          <w:rFonts w:ascii="Calibri" w:cs="Calibri" w:eastAsia="Calibri" w:hAnsi="Calibri"/>
          <w:sz w:val="22"/>
          <w:szCs w:val="22"/>
          <w:color w:val="auto"/>
        </w:rPr>
      </w:pPr>
    </w:p>
    <w:p>
      <w:pPr>
        <w:jc w:val="both"/>
        <w:ind w:firstLine="1304"/>
        <w:spacing w:after="0" w:line="230" w:lineRule="auto"/>
        <w:tabs>
          <w:tab w:leader="none" w:pos="1932" w:val="left"/>
        </w:tabs>
        <w:numPr>
          <w:ilvl w:val="0"/>
          <w:numId w:val="97"/>
        </w:numPr>
        <w:rPr>
          <w:rFonts w:ascii="Calibri" w:cs="Calibri" w:eastAsia="Calibri" w:hAnsi="Calibri"/>
          <w:sz w:val="22"/>
          <w:szCs w:val="22"/>
          <w:color w:val="auto"/>
        </w:rPr>
      </w:pPr>
      <w:r>
        <w:rPr>
          <w:rFonts w:ascii="Calibri" w:cs="Calibri" w:eastAsia="Calibri" w:hAnsi="Calibri"/>
          <w:sz w:val="22"/>
          <w:szCs w:val="22"/>
          <w:u w:val="single" w:color="auto"/>
          <w:color w:val="auto"/>
        </w:rPr>
        <w:t>Status of Sign-On LTIP Units</w:t>
      </w:r>
      <w:r>
        <w:rPr>
          <w:rFonts w:ascii="Calibri" w:cs="Calibri" w:eastAsia="Calibri" w:hAnsi="Calibri"/>
          <w:sz w:val="22"/>
          <w:szCs w:val="22"/>
          <w:color w:val="auto"/>
        </w:rPr>
        <w:t xml:space="preserve">. The Company will have the right at its opton, as set forth in the Partnership Agreement, to issue shares of Common Stock in exchange for Units into which Sign-On LTIP Units may have been converted pursuant to the Partnership Agreement, subject to certain limitatons set forth in the Partnership Agreement. For the avoidance of doubt, such shares of Common Stock, if issued, will be issued from the Company’s authorized shares of Common Stock. The Grantee must be eligible to receive the Sign-On LTIP Units in compliance with applicable federal and state securites laws and to that efect is required to complete, execute and deliver certain covenants, representatons and warrantes (atached as </w:t>
      </w:r>
      <w:r>
        <w:rPr>
          <w:rFonts w:ascii="Calibri" w:cs="Calibri" w:eastAsia="Calibri" w:hAnsi="Calibri"/>
          <w:sz w:val="22"/>
          <w:szCs w:val="22"/>
          <w:u w:val="single" w:color="auto"/>
          <w:color w:val="auto"/>
        </w:rPr>
        <w:t>Exhibit B</w:t>
      </w:r>
      <w:r>
        <w:rPr>
          <w:rFonts w:ascii="Calibri" w:cs="Calibri" w:eastAsia="Calibri" w:hAnsi="Calibri"/>
          <w:sz w:val="22"/>
          <w:szCs w:val="22"/>
          <w:color w:val="auto"/>
        </w:rPr>
        <w:t>). The Grantee acknowledges that the Grantee will have no right to approve or disapprove such determinaton by the Commitee.</w:t>
      </w:r>
    </w:p>
    <w:p>
      <w:pPr>
        <w:spacing w:after="0" w:line="236" w:lineRule="exact"/>
        <w:rPr>
          <w:rFonts w:ascii="Calibri" w:cs="Calibri" w:eastAsia="Calibri" w:hAnsi="Calibri"/>
          <w:sz w:val="22"/>
          <w:szCs w:val="22"/>
          <w:color w:val="auto"/>
        </w:rPr>
      </w:pPr>
    </w:p>
    <w:p>
      <w:pPr>
        <w:jc w:val="both"/>
        <w:ind w:firstLine="1304"/>
        <w:spacing w:after="0" w:line="229" w:lineRule="auto"/>
        <w:tabs>
          <w:tab w:leader="none" w:pos="1939" w:val="left"/>
        </w:tabs>
        <w:numPr>
          <w:ilvl w:val="0"/>
          <w:numId w:val="97"/>
        </w:numPr>
        <w:rPr>
          <w:rFonts w:ascii="Calibri" w:cs="Calibri" w:eastAsia="Calibri" w:hAnsi="Calibri"/>
          <w:sz w:val="22"/>
          <w:szCs w:val="22"/>
          <w:color w:val="auto"/>
        </w:rPr>
      </w:pPr>
      <w:r>
        <w:rPr>
          <w:rFonts w:ascii="Calibri" w:cs="Calibri" w:eastAsia="Calibri" w:hAnsi="Calibri"/>
          <w:sz w:val="22"/>
          <w:szCs w:val="22"/>
          <w:u w:val="single" w:color="auto"/>
          <w:color w:val="auto"/>
        </w:rPr>
        <w:t>Legend</w:t>
      </w:r>
      <w:r>
        <w:rPr>
          <w:rFonts w:ascii="Calibri" w:cs="Calibri" w:eastAsia="Calibri" w:hAnsi="Calibri"/>
          <w:sz w:val="22"/>
          <w:szCs w:val="22"/>
          <w:color w:val="auto"/>
        </w:rPr>
        <w:t>. The records of the Partnership evidencing the Sign-On LTIP Units shall bear an appropriate legend, as determined by the Partnership in its sole discreton, to the efect that such Sign-On LTIP Units are subject to restrictons as set forth herein, in the Stock Plan and in the Partnership Agreement.</w:t>
      </w:r>
    </w:p>
    <w:p>
      <w:pPr>
        <w:spacing w:after="0" w:line="216" w:lineRule="exact"/>
        <w:rPr>
          <w:rFonts w:ascii="Calibri" w:cs="Calibri" w:eastAsia="Calibri" w:hAnsi="Calibri"/>
          <w:sz w:val="22"/>
          <w:szCs w:val="22"/>
          <w:color w:val="auto"/>
        </w:rPr>
      </w:pPr>
    </w:p>
    <w:p>
      <w:pPr>
        <w:jc w:val="both"/>
        <w:ind w:firstLine="1304"/>
        <w:spacing w:after="0" w:line="247" w:lineRule="auto"/>
        <w:tabs>
          <w:tab w:leader="none" w:pos="1941" w:val="left"/>
        </w:tabs>
        <w:numPr>
          <w:ilvl w:val="0"/>
          <w:numId w:val="97"/>
        </w:numPr>
        <w:rPr>
          <w:rFonts w:ascii="Calibri" w:cs="Calibri" w:eastAsia="Calibri" w:hAnsi="Calibri"/>
          <w:sz w:val="21"/>
          <w:szCs w:val="21"/>
          <w:color w:val="auto"/>
        </w:rPr>
      </w:pPr>
      <w:r>
        <w:rPr>
          <w:rFonts w:ascii="Calibri" w:cs="Calibri" w:eastAsia="Calibri" w:hAnsi="Calibri"/>
          <w:sz w:val="21"/>
          <w:szCs w:val="21"/>
          <w:u w:val="single" w:color="auto"/>
          <w:color w:val="auto"/>
        </w:rPr>
        <w:t>Compliance With Securites Laws</w:t>
      </w:r>
      <w:r>
        <w:rPr>
          <w:rFonts w:ascii="Calibri" w:cs="Calibri" w:eastAsia="Calibri" w:hAnsi="Calibri"/>
          <w:sz w:val="21"/>
          <w:szCs w:val="21"/>
          <w:color w:val="auto"/>
        </w:rPr>
        <w:t>. The Partnership and the Grantee will make reasonable eforts to comply with all applicable securites laws. In additon, notwithstanding any provision of this Agreement to the contrary, no Sign-On LTIP Units will become vested or be issued at a tme that such vestng or issuance would result in a violaton of any such laws.</w:t>
      </w:r>
    </w:p>
    <w:p>
      <w:pPr>
        <w:spacing w:after="0" w:line="207" w:lineRule="exact"/>
        <w:rPr>
          <w:rFonts w:ascii="Calibri" w:cs="Calibri" w:eastAsia="Calibri" w:hAnsi="Calibri"/>
          <w:sz w:val="21"/>
          <w:szCs w:val="21"/>
          <w:color w:val="auto"/>
        </w:rPr>
      </w:pPr>
    </w:p>
    <w:p>
      <w:pPr>
        <w:jc w:val="both"/>
        <w:ind w:firstLine="1304"/>
        <w:spacing w:after="0" w:line="231" w:lineRule="auto"/>
        <w:tabs>
          <w:tab w:leader="none" w:pos="1935" w:val="left"/>
        </w:tabs>
        <w:numPr>
          <w:ilvl w:val="0"/>
          <w:numId w:val="97"/>
        </w:numPr>
        <w:rPr>
          <w:rFonts w:ascii="Calibri" w:cs="Calibri" w:eastAsia="Calibri" w:hAnsi="Calibri"/>
          <w:sz w:val="22"/>
          <w:szCs w:val="22"/>
          <w:color w:val="auto"/>
        </w:rPr>
      </w:pPr>
      <w:r>
        <w:rPr>
          <w:rFonts w:ascii="Calibri" w:cs="Calibri" w:eastAsia="Calibri" w:hAnsi="Calibri"/>
          <w:sz w:val="22"/>
          <w:szCs w:val="22"/>
          <w:u w:val="single" w:color="auto"/>
          <w:color w:val="auto"/>
        </w:rPr>
        <w:t>Investment Representatons; Registraton</w:t>
      </w:r>
      <w:r>
        <w:rPr>
          <w:rFonts w:ascii="Calibri" w:cs="Calibri" w:eastAsia="Calibri" w:hAnsi="Calibri"/>
          <w:sz w:val="22"/>
          <w:szCs w:val="22"/>
          <w:color w:val="auto"/>
        </w:rPr>
        <w:t xml:space="preserve">. The Grantee hereby makes the covenants, representatons and warrantes set forth on </w:t>
      </w:r>
      <w:r>
        <w:rPr>
          <w:rFonts w:ascii="Calibri" w:cs="Calibri" w:eastAsia="Calibri" w:hAnsi="Calibri"/>
          <w:sz w:val="22"/>
          <w:szCs w:val="22"/>
          <w:u w:val="single" w:color="auto"/>
          <w:color w:val="auto"/>
        </w:rPr>
        <w:t>Exhibit B</w:t>
      </w:r>
      <w:r>
        <w:rPr>
          <w:rFonts w:ascii="Calibri" w:cs="Calibri" w:eastAsia="Calibri" w:hAnsi="Calibri"/>
          <w:sz w:val="22"/>
          <w:szCs w:val="22"/>
          <w:color w:val="auto"/>
        </w:rPr>
        <w:t xml:space="preserve"> atached hereto. All of such covenants, warrantes and representatons shall survive the executon and delivery of this Agreement by the Grantee. The Partnership will have no obligaton to register under the Securites Act any Sign-On LTIP Units or any other securites issued pursuant to this Agreement or upon conversion or exchange of Sign-On LTIP Units. The Grantee agrees that any resale of the shares of Common Stock received upon the exchange of Units into which Sign-On LTIP Units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10</w:t>
      </w:r>
    </w:p>
    <w:p>
      <w:pPr>
        <w:sectPr>
          <w:pgSz w:w="11900" w:h="16838" w:orient="portrait"/>
          <w:cols w:equalWidth="0" w:num="1">
            <w:col w:w="11240"/>
          </w:cols>
          <w:pgMar w:left="320" w:top="1407" w:right="339" w:bottom="1440" w:gutter="0" w:footer="0" w:header="0"/>
        </w:sectPr>
      </w:pPr>
    </w:p>
    <w:bookmarkStart w:id="94" w:name="page95"/>
    <w:bookmarkEnd w:id="94"/>
    <w:p>
      <w:pPr>
        <w:jc w:val="both"/>
        <w:spacing w:after="0" w:line="232" w:lineRule="auto"/>
        <w:rPr>
          <w:sz w:val="20"/>
          <w:szCs w:val="20"/>
          <w:color w:val="auto"/>
        </w:rPr>
      </w:pPr>
      <w:r>
        <w:rPr>
          <w:rFonts w:ascii="Calibri" w:cs="Calibri" w:eastAsia="Calibri" w:hAnsi="Calibri"/>
          <w:sz w:val="22"/>
          <w:szCs w:val="22"/>
          <w:color w:val="auto"/>
        </w:rPr>
        <w:t>may be converted shall not occur during the “blackout periods” forbidding sales of Company securites, as set forth in the then applicable Company employee manual or insider trading policy. In additon, any resale shall be made in compliance with the registraton requirements of the Securites Act or an applicable exempton therefrom, including, without limitaton, the exempton provided by Rule 144 promulgated thereunder (or any successor rule).</w:t>
      </w:r>
    </w:p>
    <w:p>
      <w:pPr>
        <w:spacing w:after="0" w:line="217" w:lineRule="exact"/>
        <w:rPr>
          <w:sz w:val="20"/>
          <w:szCs w:val="20"/>
          <w:color w:val="auto"/>
        </w:rPr>
      </w:pPr>
    </w:p>
    <w:p>
      <w:pPr>
        <w:jc w:val="both"/>
        <w:ind w:firstLine="1304"/>
        <w:spacing w:after="0" w:line="231" w:lineRule="auto"/>
        <w:tabs>
          <w:tab w:leader="none" w:pos="1932" w:val="left"/>
        </w:tabs>
        <w:numPr>
          <w:ilvl w:val="0"/>
          <w:numId w:val="98"/>
        </w:numPr>
        <w:rPr>
          <w:rFonts w:ascii="Calibri" w:cs="Calibri" w:eastAsia="Calibri" w:hAnsi="Calibri"/>
          <w:sz w:val="22"/>
          <w:szCs w:val="22"/>
          <w:color w:val="auto"/>
        </w:rPr>
      </w:pPr>
      <w:r>
        <w:rPr>
          <w:rFonts w:ascii="Calibri" w:cs="Calibri" w:eastAsia="Calibri" w:hAnsi="Calibri"/>
          <w:sz w:val="22"/>
          <w:szCs w:val="22"/>
          <w:u w:val="single" w:color="auto"/>
          <w:color w:val="auto"/>
        </w:rPr>
        <w:t>Secton 83(b) Electon</w:t>
      </w:r>
      <w:r>
        <w:rPr>
          <w:rFonts w:ascii="Calibri" w:cs="Calibri" w:eastAsia="Calibri" w:hAnsi="Calibri"/>
          <w:sz w:val="22"/>
          <w:szCs w:val="22"/>
          <w:color w:val="auto"/>
        </w:rPr>
        <w:t xml:space="preserve">. In connecton with the issuance of Sign-On LTIP Units under this Award pursuant to </w:t>
      </w:r>
      <w:r>
        <w:rPr>
          <w:rFonts w:ascii="Calibri" w:cs="Calibri" w:eastAsia="Calibri" w:hAnsi="Calibri"/>
          <w:sz w:val="22"/>
          <w:szCs w:val="22"/>
          <w:u w:val="single" w:color="auto"/>
          <w:color w:val="auto"/>
        </w:rPr>
        <w:t>Secton 3</w:t>
      </w:r>
      <w:r>
        <w:rPr>
          <w:rFonts w:ascii="Calibri" w:cs="Calibri" w:eastAsia="Calibri" w:hAnsi="Calibri"/>
          <w:sz w:val="22"/>
          <w:szCs w:val="22"/>
          <w:color w:val="auto"/>
        </w:rPr>
        <w:t xml:space="preserve"> hereof the Grantee may (but is not required to) make an electon to include in gross income in the year of transfer the applicable Sign-On LTIP Units pursuant to Secton 83(b) of the Code substantally in the form atached hereto as </w:t>
      </w:r>
      <w:r>
        <w:rPr>
          <w:rFonts w:ascii="Calibri" w:cs="Calibri" w:eastAsia="Calibri" w:hAnsi="Calibri"/>
          <w:sz w:val="22"/>
          <w:szCs w:val="22"/>
          <w:u w:val="single" w:color="auto"/>
          <w:color w:val="auto"/>
        </w:rPr>
        <w:t>Exhibit C</w:t>
      </w:r>
      <w:r>
        <w:rPr>
          <w:rFonts w:ascii="Calibri" w:cs="Calibri" w:eastAsia="Calibri" w:hAnsi="Calibri"/>
          <w:sz w:val="22"/>
          <w:szCs w:val="22"/>
          <w:color w:val="auto"/>
        </w:rPr>
        <w:t xml:space="preserve"> and, if such an electon is made, the Grantee shall provide to the Company a copy thereof and supply to the Company such other informaton as the Company is required to maintain or fle in accordance with the regulatons promulgated thereunder.</w:t>
      </w:r>
    </w:p>
    <w:p>
      <w:pPr>
        <w:spacing w:after="0" w:line="219" w:lineRule="exact"/>
        <w:rPr>
          <w:rFonts w:ascii="Calibri" w:cs="Calibri" w:eastAsia="Calibri" w:hAnsi="Calibri"/>
          <w:sz w:val="22"/>
          <w:szCs w:val="22"/>
          <w:color w:val="auto"/>
        </w:rPr>
      </w:pPr>
    </w:p>
    <w:p>
      <w:pPr>
        <w:jc w:val="both"/>
        <w:ind w:firstLine="1304"/>
        <w:spacing w:after="0" w:line="229" w:lineRule="auto"/>
        <w:tabs>
          <w:tab w:leader="none" w:pos="1936" w:val="left"/>
        </w:tabs>
        <w:numPr>
          <w:ilvl w:val="0"/>
          <w:numId w:val="98"/>
        </w:numPr>
        <w:rPr>
          <w:rFonts w:ascii="Calibri" w:cs="Calibri" w:eastAsia="Calibri" w:hAnsi="Calibri"/>
          <w:sz w:val="22"/>
          <w:szCs w:val="22"/>
          <w:color w:val="auto"/>
        </w:rPr>
      </w:pPr>
      <w:r>
        <w:rPr>
          <w:rFonts w:ascii="Calibri" w:cs="Calibri" w:eastAsia="Calibri" w:hAnsi="Calibri"/>
          <w:sz w:val="22"/>
          <w:szCs w:val="22"/>
          <w:u w:val="single" w:color="auto"/>
          <w:color w:val="auto"/>
        </w:rPr>
        <w:t>Severability</w:t>
      </w:r>
      <w:r>
        <w:rPr>
          <w:rFonts w:ascii="Calibri" w:cs="Calibri" w:eastAsia="Calibri" w:hAnsi="Calibri"/>
          <w:sz w:val="22"/>
          <w:szCs w:val="22"/>
          <w:color w:val="auto"/>
        </w:rPr>
        <w:t>. If, for any reason, any provision of this Agreement is held invalid, such invalidity shall not afect any other provision of this Agreement not so held invalid, and each such other provision shall to the full extent consistent with law contnue in full force and efect. If any provision of this Agreement shall be held invalid in part, such invalidity shall in no way afect the rest of such provision not held so invalid, and the rest of such provision, together with all other provisions of this Agreement, shall to the full extent consistent with law contnue in full force and efect.</w:t>
      </w:r>
    </w:p>
    <w:p>
      <w:pPr>
        <w:spacing w:after="0" w:line="230" w:lineRule="exact"/>
        <w:rPr>
          <w:rFonts w:ascii="Calibri" w:cs="Calibri" w:eastAsia="Calibri" w:hAnsi="Calibri"/>
          <w:sz w:val="22"/>
          <w:szCs w:val="22"/>
          <w:color w:val="auto"/>
        </w:rPr>
      </w:pPr>
    </w:p>
    <w:p>
      <w:pPr>
        <w:ind w:right="20" w:firstLine="1304"/>
        <w:spacing w:after="0" w:line="229" w:lineRule="auto"/>
        <w:tabs>
          <w:tab w:leader="none" w:pos="1944" w:val="left"/>
        </w:tabs>
        <w:numPr>
          <w:ilvl w:val="0"/>
          <w:numId w:val="98"/>
        </w:numPr>
        <w:rPr>
          <w:rFonts w:ascii="Calibri" w:cs="Calibri" w:eastAsia="Calibri" w:hAnsi="Calibri"/>
          <w:sz w:val="22"/>
          <w:szCs w:val="22"/>
          <w:color w:val="auto"/>
        </w:rPr>
      </w:pPr>
      <w:r>
        <w:rPr>
          <w:rFonts w:ascii="Calibri" w:cs="Calibri" w:eastAsia="Calibri" w:hAnsi="Calibri"/>
          <w:sz w:val="22"/>
          <w:szCs w:val="22"/>
          <w:u w:val="single" w:color="auto"/>
          <w:color w:val="auto"/>
        </w:rPr>
        <w:t>Governing Law</w:t>
      </w:r>
      <w:r>
        <w:rPr>
          <w:rFonts w:ascii="Calibri" w:cs="Calibri" w:eastAsia="Calibri" w:hAnsi="Calibri"/>
          <w:sz w:val="22"/>
          <w:szCs w:val="22"/>
          <w:color w:val="auto"/>
        </w:rPr>
        <w:t>. This Agreement is made under, and will be construed in accordance with, the laws of the State of Delaware, without giving efect to the principles of confict of laws of such state.</w:t>
      </w:r>
    </w:p>
    <w:p>
      <w:pPr>
        <w:spacing w:after="0" w:line="216" w:lineRule="exact"/>
        <w:rPr>
          <w:rFonts w:ascii="Calibri" w:cs="Calibri" w:eastAsia="Calibri" w:hAnsi="Calibri"/>
          <w:sz w:val="22"/>
          <w:szCs w:val="22"/>
          <w:color w:val="auto"/>
        </w:rPr>
      </w:pPr>
    </w:p>
    <w:p>
      <w:pPr>
        <w:jc w:val="both"/>
        <w:ind w:firstLine="1304"/>
        <w:spacing w:after="0" w:line="232" w:lineRule="auto"/>
        <w:tabs>
          <w:tab w:leader="none" w:pos="1944" w:val="left"/>
        </w:tabs>
        <w:numPr>
          <w:ilvl w:val="0"/>
          <w:numId w:val="98"/>
        </w:numPr>
        <w:rPr>
          <w:rFonts w:ascii="Calibri" w:cs="Calibri" w:eastAsia="Calibri" w:hAnsi="Calibri"/>
          <w:sz w:val="22"/>
          <w:szCs w:val="22"/>
          <w:color w:val="auto"/>
        </w:rPr>
      </w:pPr>
      <w:r>
        <w:rPr>
          <w:rFonts w:ascii="Calibri" w:cs="Calibri" w:eastAsia="Calibri" w:hAnsi="Calibri"/>
          <w:sz w:val="22"/>
          <w:szCs w:val="22"/>
          <w:u w:val="single" w:color="auto"/>
          <w:color w:val="auto"/>
        </w:rPr>
        <w:t>No Obligaton to Contnue Positon as an Employee, Consultant or Advisor</w:t>
      </w:r>
      <w:r>
        <w:rPr>
          <w:rFonts w:ascii="Calibri" w:cs="Calibri" w:eastAsia="Calibri" w:hAnsi="Calibri"/>
          <w:sz w:val="22"/>
          <w:szCs w:val="22"/>
          <w:color w:val="auto"/>
        </w:rPr>
        <w:t>. Neither the Company nor any afliate is obligated by or as a result of this Agreement to contnue to have the Grantee as an employee, consultant or advisor and this Agreement shall not interfere in any way with the right of the Company or any afliate to terminate the Grantee’s service relatonship at any tme.</w:t>
      </w:r>
    </w:p>
    <w:p>
      <w:pPr>
        <w:spacing w:after="0" w:line="217" w:lineRule="exact"/>
        <w:rPr>
          <w:rFonts w:ascii="Calibri" w:cs="Calibri" w:eastAsia="Calibri" w:hAnsi="Calibri"/>
          <w:sz w:val="22"/>
          <w:szCs w:val="22"/>
          <w:color w:val="auto"/>
        </w:rPr>
      </w:pPr>
    </w:p>
    <w:p>
      <w:pPr>
        <w:jc w:val="both"/>
        <w:ind w:firstLine="1304"/>
        <w:spacing w:after="0" w:line="229" w:lineRule="auto"/>
        <w:tabs>
          <w:tab w:leader="none" w:pos="1936" w:val="left"/>
        </w:tabs>
        <w:numPr>
          <w:ilvl w:val="0"/>
          <w:numId w:val="98"/>
        </w:numPr>
        <w:rPr>
          <w:rFonts w:ascii="Calibri" w:cs="Calibri" w:eastAsia="Calibri" w:hAnsi="Calibri"/>
          <w:sz w:val="22"/>
          <w:szCs w:val="22"/>
          <w:color w:val="auto"/>
        </w:rPr>
      </w:pPr>
      <w:r>
        <w:rPr>
          <w:rFonts w:ascii="Calibri" w:cs="Calibri" w:eastAsia="Calibri" w:hAnsi="Calibri"/>
          <w:sz w:val="22"/>
          <w:szCs w:val="22"/>
          <w:u w:val="single" w:color="auto"/>
          <w:color w:val="auto"/>
        </w:rPr>
        <w:t>Notces</w:t>
      </w:r>
      <w:r>
        <w:rPr>
          <w:rFonts w:ascii="Calibri" w:cs="Calibri" w:eastAsia="Calibri" w:hAnsi="Calibri"/>
          <w:sz w:val="22"/>
          <w:szCs w:val="22"/>
          <w:color w:val="auto"/>
        </w:rPr>
        <w:t>. Any notce to be given to the Company shall be addressed to the Secretary of the Company at its principal place of business and any notce to be given the Grantee shall be addressed to the Grantee at the Grantee’s address as it appears on the employment records of the Company, or at such other address as the Company or the Grantee may hereafer designate in writng to the other.</w:t>
      </w:r>
    </w:p>
    <w:p>
      <w:pPr>
        <w:spacing w:after="0" w:line="230" w:lineRule="exact"/>
        <w:rPr>
          <w:rFonts w:ascii="Calibri" w:cs="Calibri" w:eastAsia="Calibri" w:hAnsi="Calibri"/>
          <w:sz w:val="22"/>
          <w:szCs w:val="22"/>
          <w:color w:val="auto"/>
        </w:rPr>
      </w:pPr>
    </w:p>
    <w:p>
      <w:pPr>
        <w:jc w:val="both"/>
        <w:ind w:firstLine="1304"/>
        <w:spacing w:after="0" w:line="229" w:lineRule="auto"/>
        <w:tabs>
          <w:tab w:leader="none" w:pos="1937" w:val="left"/>
        </w:tabs>
        <w:numPr>
          <w:ilvl w:val="0"/>
          <w:numId w:val="98"/>
        </w:numPr>
        <w:rPr>
          <w:rFonts w:ascii="Calibri" w:cs="Calibri" w:eastAsia="Calibri" w:hAnsi="Calibri"/>
          <w:sz w:val="22"/>
          <w:szCs w:val="22"/>
          <w:color w:val="auto"/>
        </w:rPr>
      </w:pPr>
      <w:r>
        <w:rPr>
          <w:rFonts w:ascii="Calibri" w:cs="Calibri" w:eastAsia="Calibri" w:hAnsi="Calibri"/>
          <w:sz w:val="22"/>
          <w:szCs w:val="22"/>
          <w:u w:val="single" w:color="auto"/>
          <w:color w:val="auto"/>
        </w:rPr>
        <w:t>Withholding and Taxes</w:t>
      </w:r>
      <w:r>
        <w:rPr>
          <w:rFonts w:ascii="Calibri" w:cs="Calibri" w:eastAsia="Calibri" w:hAnsi="Calibri"/>
          <w:sz w:val="22"/>
          <w:szCs w:val="22"/>
          <w:color w:val="auto"/>
        </w:rPr>
        <w:t>. No later than the date as of which an amount frst becomes includible in the gross income of the Grantee for income tax purposes or subject to the Federal Insurance Contributons Act withholding with respect to this Award, the Grantee will pay to the Company or, if appropriate, any of its afliates, or make arrangements satsfactory to the Commitee regarding the payment of, any United States federal, state or local or foreign taxes of any kind required by law to be withheld with respect to such amount. The obligatons of the Company under this Agreement will be conditonal on such payment 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11</w:t>
      </w:r>
    </w:p>
    <w:p>
      <w:pPr>
        <w:sectPr>
          <w:pgSz w:w="11900" w:h="16838" w:orient="portrait"/>
          <w:cols w:equalWidth="0" w:num="1">
            <w:col w:w="11240"/>
          </w:cols>
          <w:pgMar w:left="320" w:top="1407" w:right="339" w:bottom="1440" w:gutter="0" w:footer="0" w:header="0"/>
        </w:sectPr>
      </w:pPr>
    </w:p>
    <w:bookmarkStart w:id="95" w:name="page96"/>
    <w:bookmarkEnd w:id="95"/>
    <w:p>
      <w:pPr>
        <w:spacing w:after="0" w:line="229" w:lineRule="auto"/>
        <w:rPr>
          <w:sz w:val="20"/>
          <w:szCs w:val="20"/>
          <w:color w:val="auto"/>
        </w:rPr>
      </w:pPr>
      <w:r>
        <w:rPr>
          <w:rFonts w:ascii="Calibri" w:cs="Calibri" w:eastAsia="Calibri" w:hAnsi="Calibri"/>
          <w:sz w:val="22"/>
          <w:szCs w:val="22"/>
          <w:color w:val="auto"/>
        </w:rPr>
        <w:t>arrangements, and the Company and its afliates shall, to the extent permited by law, have the right to deduct any such taxes from any payment otherwise due to the Grantee.</w:t>
      </w:r>
    </w:p>
    <w:p>
      <w:pPr>
        <w:spacing w:after="0" w:line="217" w:lineRule="exact"/>
        <w:rPr>
          <w:sz w:val="20"/>
          <w:szCs w:val="20"/>
          <w:color w:val="auto"/>
        </w:rPr>
      </w:pPr>
    </w:p>
    <w:p>
      <w:pPr>
        <w:ind w:firstLine="1304"/>
        <w:spacing w:after="0" w:line="235" w:lineRule="auto"/>
        <w:tabs>
          <w:tab w:leader="none" w:pos="1932" w:val="left"/>
        </w:tabs>
        <w:numPr>
          <w:ilvl w:val="0"/>
          <w:numId w:val="99"/>
        </w:numPr>
        <w:rPr>
          <w:rFonts w:ascii="Calibri" w:cs="Calibri" w:eastAsia="Calibri" w:hAnsi="Calibri"/>
          <w:sz w:val="22"/>
          <w:szCs w:val="22"/>
          <w:color w:val="auto"/>
        </w:rPr>
      </w:pPr>
      <w:r>
        <w:rPr>
          <w:rFonts w:ascii="Calibri" w:cs="Calibri" w:eastAsia="Calibri" w:hAnsi="Calibri"/>
          <w:sz w:val="22"/>
          <w:szCs w:val="22"/>
          <w:u w:val="single" w:color="auto"/>
          <w:color w:val="auto"/>
        </w:rPr>
        <w:t>Headings</w:t>
      </w:r>
      <w:r>
        <w:rPr>
          <w:rFonts w:ascii="Calibri" w:cs="Calibri" w:eastAsia="Calibri" w:hAnsi="Calibri"/>
          <w:sz w:val="22"/>
          <w:szCs w:val="22"/>
          <w:color w:val="auto"/>
        </w:rPr>
        <w:t>. The headings of paragraphs hereof are included solely for convenience of reference and shall not control the meaning or interpretaton of any of the provisions of this Agreement.</w:t>
      </w:r>
    </w:p>
    <w:p>
      <w:pPr>
        <w:spacing w:after="0" w:line="216" w:lineRule="exact"/>
        <w:rPr>
          <w:rFonts w:ascii="Calibri" w:cs="Calibri" w:eastAsia="Calibri" w:hAnsi="Calibri"/>
          <w:sz w:val="22"/>
          <w:szCs w:val="22"/>
          <w:color w:val="auto"/>
        </w:rPr>
      </w:pPr>
    </w:p>
    <w:p>
      <w:pPr>
        <w:jc w:val="both"/>
        <w:ind w:right="20" w:firstLine="1304"/>
        <w:spacing w:after="0" w:line="229" w:lineRule="auto"/>
        <w:tabs>
          <w:tab w:leader="none" w:pos="1932" w:val="left"/>
        </w:tabs>
        <w:numPr>
          <w:ilvl w:val="0"/>
          <w:numId w:val="99"/>
        </w:numPr>
        <w:rPr>
          <w:rFonts w:ascii="Calibri" w:cs="Calibri" w:eastAsia="Calibri" w:hAnsi="Calibri"/>
          <w:sz w:val="22"/>
          <w:szCs w:val="22"/>
          <w:color w:val="auto"/>
        </w:rPr>
      </w:pPr>
      <w:r>
        <w:rPr>
          <w:rFonts w:ascii="Calibri" w:cs="Calibri" w:eastAsia="Calibri" w:hAnsi="Calibri"/>
          <w:sz w:val="22"/>
          <w:szCs w:val="22"/>
          <w:u w:val="single" w:color="auto"/>
          <w:color w:val="auto"/>
        </w:rPr>
        <w:t>Counterparts</w:t>
      </w:r>
      <w:r>
        <w:rPr>
          <w:rFonts w:ascii="Calibri" w:cs="Calibri" w:eastAsia="Calibri" w:hAnsi="Calibri"/>
          <w:sz w:val="22"/>
          <w:szCs w:val="22"/>
          <w:color w:val="auto"/>
        </w:rPr>
        <w:t>. This Agreement may be executed in multple counterparts with the same efect as if each of the signing partes had signed the same document. All counterparts shall be construed together and consttute the same instrument.</w:t>
      </w:r>
    </w:p>
    <w:p>
      <w:pPr>
        <w:spacing w:after="0" w:line="216" w:lineRule="exact"/>
        <w:rPr>
          <w:rFonts w:ascii="Calibri" w:cs="Calibri" w:eastAsia="Calibri" w:hAnsi="Calibri"/>
          <w:sz w:val="22"/>
          <w:szCs w:val="22"/>
          <w:color w:val="auto"/>
        </w:rPr>
      </w:pPr>
    </w:p>
    <w:p>
      <w:pPr>
        <w:jc w:val="both"/>
        <w:ind w:firstLine="1304"/>
        <w:spacing w:after="0" w:line="232" w:lineRule="auto"/>
        <w:tabs>
          <w:tab w:leader="none" w:pos="1932" w:val="left"/>
        </w:tabs>
        <w:numPr>
          <w:ilvl w:val="0"/>
          <w:numId w:val="99"/>
        </w:numPr>
        <w:rPr>
          <w:rFonts w:ascii="Calibri" w:cs="Calibri" w:eastAsia="Calibri" w:hAnsi="Calibri"/>
          <w:sz w:val="22"/>
          <w:szCs w:val="22"/>
          <w:color w:val="auto"/>
        </w:rPr>
      </w:pPr>
      <w:r>
        <w:rPr>
          <w:rFonts w:ascii="Calibri" w:cs="Calibri" w:eastAsia="Calibri" w:hAnsi="Calibri"/>
          <w:sz w:val="22"/>
          <w:szCs w:val="22"/>
          <w:u w:val="single" w:color="auto"/>
          <w:color w:val="auto"/>
        </w:rPr>
        <w:t>Successors and Assigns</w:t>
      </w:r>
      <w:r>
        <w:rPr>
          <w:rFonts w:ascii="Calibri" w:cs="Calibri" w:eastAsia="Calibri" w:hAnsi="Calibri"/>
          <w:sz w:val="22"/>
          <w:szCs w:val="22"/>
          <w:color w:val="auto"/>
        </w:rPr>
        <w:t>. This Agreement shall be binding upon and inure to the beneft of the partes hereto and any successors to the Company and the Partnership, on the one hand, and any successors to the Grantee, on the other hand, by will or the laws of descent and distributon, but this Agreement shall not otherwise be assignable or otherwise subject to hypothecaton by the Grantee.</w:t>
      </w:r>
    </w:p>
    <w:p>
      <w:pPr>
        <w:spacing w:after="0" w:line="217" w:lineRule="exact"/>
        <w:rPr>
          <w:rFonts w:ascii="Calibri" w:cs="Calibri" w:eastAsia="Calibri" w:hAnsi="Calibri"/>
          <w:sz w:val="22"/>
          <w:szCs w:val="22"/>
          <w:color w:val="auto"/>
        </w:rPr>
      </w:pPr>
    </w:p>
    <w:p>
      <w:pPr>
        <w:jc w:val="both"/>
        <w:ind w:firstLine="1304"/>
        <w:spacing w:after="0" w:line="231" w:lineRule="auto"/>
        <w:tabs>
          <w:tab w:leader="none" w:pos="1932" w:val="left"/>
        </w:tabs>
        <w:numPr>
          <w:ilvl w:val="0"/>
          <w:numId w:val="99"/>
        </w:numPr>
        <w:rPr>
          <w:rFonts w:ascii="Calibri" w:cs="Calibri" w:eastAsia="Calibri" w:hAnsi="Calibri"/>
          <w:sz w:val="22"/>
          <w:szCs w:val="22"/>
          <w:color w:val="auto"/>
        </w:rPr>
      </w:pPr>
      <w:r>
        <w:rPr>
          <w:rFonts w:ascii="Calibri" w:cs="Calibri" w:eastAsia="Calibri" w:hAnsi="Calibri"/>
          <w:sz w:val="22"/>
          <w:szCs w:val="22"/>
          <w:u w:val="single" w:color="auto"/>
          <w:color w:val="auto"/>
        </w:rPr>
        <w:t>409A</w:t>
      </w:r>
      <w:r>
        <w:rPr>
          <w:rFonts w:ascii="Calibri" w:cs="Calibri" w:eastAsia="Calibri" w:hAnsi="Calibri"/>
          <w:sz w:val="22"/>
          <w:szCs w:val="22"/>
          <w:color w:val="auto"/>
        </w:rPr>
        <w:t>. To the extent applicable, this Agreement shall be construed, administered and interpreted in accordance with a good faith interpretaton of Secton 409A of the Code. Any provision of this Agreement that is inconsistent with Secton 409A of the Code, to the extent applicable, or that may result in penaltes under Secton 409A of the Code, shall be amended, in consultaton with the Grantee and with the reasonable cooperaton of the Grantee and the Company, in the least restrictve manner necessary to (i) exclude the applicable payment or beneft under this Agreement from the defniton of “deferred compensaton” within the meaning of such Secton 409A or (ii) comply with the provisions of Secton 409A, other applicable provision(s) of the Code and/or any rules, regulatons or other regulatory guidance issued under such statutory provisions, in each case without diminuton in the value of the benefts granted hereby to the Grantee. Notwithstanding anything herein to the contrary, in the event the amounts payable under this Agreement are determined to consttute “nonqualifed deferred compensaton” subject to Secton 409A of the Code, then, to the extent the Grantee is a “specifed employee” under Secton 409A of the Code subject to the six-month delay thereunder, any such vestng or related payments to be made during the six-month period commencing on the Grantee’s “separaton from service” (as defned in Secton 409A of the Code) shall be delayed untl the expiraton of such six-month period.</w:t>
      </w:r>
    </w:p>
    <w:p>
      <w:pPr>
        <w:spacing w:after="0" w:line="230" w:lineRule="exact"/>
        <w:rPr>
          <w:rFonts w:ascii="Calibri" w:cs="Calibri" w:eastAsia="Calibri" w:hAnsi="Calibri"/>
          <w:sz w:val="22"/>
          <w:szCs w:val="22"/>
          <w:color w:val="auto"/>
        </w:rPr>
      </w:pPr>
    </w:p>
    <w:p>
      <w:pPr>
        <w:jc w:val="both"/>
        <w:ind w:firstLine="1304"/>
        <w:spacing w:after="0" w:line="229" w:lineRule="auto"/>
        <w:tabs>
          <w:tab w:leader="none" w:pos="1934" w:val="left"/>
        </w:tabs>
        <w:numPr>
          <w:ilvl w:val="0"/>
          <w:numId w:val="99"/>
        </w:numPr>
        <w:rPr>
          <w:rFonts w:ascii="Calibri" w:cs="Calibri" w:eastAsia="Calibri" w:hAnsi="Calibri"/>
          <w:sz w:val="22"/>
          <w:szCs w:val="22"/>
          <w:color w:val="auto"/>
        </w:rPr>
      </w:pPr>
      <w:r>
        <w:rPr>
          <w:rFonts w:ascii="Calibri" w:cs="Calibri" w:eastAsia="Calibri" w:hAnsi="Calibri"/>
          <w:sz w:val="22"/>
          <w:szCs w:val="22"/>
          <w:u w:val="single" w:color="auto"/>
          <w:color w:val="auto"/>
        </w:rPr>
        <w:t>Complete Agreement</w:t>
      </w:r>
      <w:r>
        <w:rPr>
          <w:rFonts w:ascii="Calibri" w:cs="Calibri" w:eastAsia="Calibri" w:hAnsi="Calibri"/>
          <w:sz w:val="22"/>
          <w:szCs w:val="22"/>
          <w:color w:val="auto"/>
        </w:rPr>
        <w:t>. This Agreement (together with those agreements and documents expressly referred to herein, for the purposes referred to herein) embody the complete and entre agreement and understanding between the partes with respect to the subject mater hereof, and supersede any and all prior promises, assurances, commitments, agreements, undertakings or representatons, whether oral, writen, electronic or otherwise, and whether express or implied, which may relate to the subject mater hereof in any way.</w:t>
      </w: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12</w:t>
      </w:r>
    </w:p>
    <w:p>
      <w:pPr>
        <w:sectPr>
          <w:pgSz w:w="11900" w:h="16838" w:orient="portrait"/>
          <w:cols w:equalWidth="0" w:num="1">
            <w:col w:w="11240"/>
          </w:cols>
          <w:pgMar w:left="320" w:top="1407" w:right="339" w:bottom="1440" w:gutter="0" w:footer="0" w:header="0"/>
        </w:sectPr>
      </w:pPr>
    </w:p>
    <w:bookmarkStart w:id="96" w:name="page97"/>
    <w:bookmarkEnd w:id="96"/>
    <w:p>
      <w:pPr>
        <w:ind w:left="660"/>
        <w:spacing w:after="0"/>
        <w:rPr>
          <w:sz w:val="20"/>
          <w:szCs w:val="20"/>
          <w:color w:val="auto"/>
        </w:rPr>
      </w:pPr>
      <w:r>
        <w:rPr>
          <w:rFonts w:ascii="Calibri" w:cs="Calibri" w:eastAsia="Calibri" w:hAnsi="Calibri"/>
          <w:sz w:val="21"/>
          <w:szCs w:val="21"/>
          <w:color w:val="auto"/>
        </w:rPr>
        <w:t>IN WITNESS WHEREOF, the undersigned have caused this Award Agreement to be executed as of the 1</w:t>
      </w:r>
      <w:r>
        <w:rPr>
          <w:rFonts w:ascii="Calibri" w:cs="Calibri" w:eastAsia="Calibri" w:hAnsi="Calibri"/>
          <w:sz w:val="27"/>
          <w:szCs w:val="27"/>
          <w:color w:val="auto"/>
          <w:vertAlign w:val="superscript"/>
        </w:rPr>
        <w:t>st</w:t>
      </w:r>
      <w:r>
        <w:rPr>
          <w:rFonts w:ascii="Calibri" w:cs="Calibri" w:eastAsia="Calibri" w:hAnsi="Calibri"/>
          <w:sz w:val="21"/>
          <w:szCs w:val="21"/>
          <w:color w:val="auto"/>
        </w:rPr>
        <w:t xml:space="preserve"> day of March,</w:t>
      </w:r>
    </w:p>
    <w:p>
      <w:pPr>
        <w:spacing w:after="0" w:line="191" w:lineRule="auto"/>
        <w:rPr>
          <w:sz w:val="20"/>
          <w:szCs w:val="20"/>
          <w:color w:val="auto"/>
        </w:rPr>
      </w:pPr>
      <w:r>
        <w:rPr>
          <w:rFonts w:ascii="Calibri" w:cs="Calibri" w:eastAsia="Calibri" w:hAnsi="Calibri"/>
          <w:sz w:val="22"/>
          <w:szCs w:val="22"/>
          <w:color w:val="auto"/>
        </w:rPr>
        <w:t>2024.</w:t>
      </w:r>
    </w:p>
    <w:p>
      <w:pPr>
        <w:spacing w:after="0" w:line="206"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THE MACERICH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-25400</wp:posOffset>
            </wp:positionV>
            <wp:extent cx="1238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THE MACERICH PARTNERSHIP, L.P.</w:t>
      </w:r>
    </w:p>
    <w:p>
      <w:pPr>
        <w:spacing w:after="0" w:line="202" w:lineRule="exact"/>
        <w:rPr>
          <w:sz w:val="20"/>
          <w:szCs w:val="20"/>
          <w:color w:val="auto"/>
        </w:rPr>
      </w:pPr>
    </w:p>
    <w:p>
      <w:pPr>
        <w:ind w:left="3900"/>
        <w:spacing w:after="0"/>
        <w:tabs>
          <w:tab w:leader="none" w:pos="4340" w:val="left"/>
        </w:tabs>
        <w:rPr>
          <w:sz w:val="20"/>
          <w:szCs w:val="20"/>
          <w:color w:val="auto"/>
        </w:rPr>
      </w:pPr>
      <w:r>
        <w:rPr>
          <w:rFonts w:ascii="Calibri" w:cs="Calibri" w:eastAsia="Calibri" w:hAnsi="Calibri"/>
          <w:sz w:val="22"/>
          <w:szCs w:val="22"/>
          <w:color w:val="auto"/>
        </w:rPr>
        <w:t>By:</w:t>
      </w:r>
      <w:r>
        <w:rPr>
          <w:sz w:val="20"/>
          <w:szCs w:val="20"/>
          <w:color w:val="auto"/>
        </w:rPr>
        <w:tab/>
      </w:r>
      <w:r>
        <w:rPr>
          <w:rFonts w:ascii="Calibri" w:cs="Calibri" w:eastAsia="Calibri" w:hAnsi="Calibri"/>
          <w:sz w:val="21"/>
          <w:szCs w:val="21"/>
          <w:color w:val="auto"/>
        </w:rPr>
        <w:t>The Macerich Company,</w:t>
      </w:r>
    </w:p>
    <w:p>
      <w:pPr>
        <w:ind w:left="4540"/>
        <w:spacing w:after="0" w:line="231" w:lineRule="auto"/>
        <w:rPr>
          <w:sz w:val="20"/>
          <w:szCs w:val="20"/>
          <w:color w:val="auto"/>
        </w:rPr>
      </w:pPr>
      <w:r>
        <w:rPr>
          <w:rFonts w:ascii="Calibri" w:cs="Calibri" w:eastAsia="Calibri" w:hAnsi="Calibri"/>
          <w:sz w:val="22"/>
          <w:szCs w:val="22"/>
          <w:color w:val="auto"/>
        </w:rPr>
        <w:t>its general partner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-23495</wp:posOffset>
            </wp:positionV>
            <wp:extent cx="1238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548640</wp:posOffset>
            </wp:positionV>
            <wp:extent cx="1238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13</w:t>
      </w:r>
    </w:p>
    <w:p>
      <w:pPr>
        <w:sectPr>
          <w:pgSz w:w="11900" w:h="16838" w:orient="portrait"/>
          <w:cols w:equalWidth="0" w:num="1">
            <w:col w:w="11240"/>
          </w:cols>
          <w:pgMar w:left="320" w:top="1376" w:right="339" w:bottom="1440" w:gutter="0" w:footer="0" w:header="0"/>
        </w:sectPr>
      </w:pPr>
    </w:p>
    <w:bookmarkStart w:id="97" w:name="page98"/>
    <w:bookmarkEnd w:id="97"/>
    <w:p>
      <w:pPr>
        <w:jc w:val="center"/>
        <w:spacing w:after="0"/>
        <w:rPr>
          <w:sz w:val="20"/>
          <w:szCs w:val="20"/>
          <w:color w:val="auto"/>
        </w:rPr>
      </w:pPr>
      <w:r>
        <w:rPr>
          <w:rFonts w:ascii="Calibri" w:cs="Calibri" w:eastAsia="Calibri" w:hAnsi="Calibri"/>
          <w:sz w:val="22"/>
          <w:szCs w:val="22"/>
          <w:b w:val="1"/>
          <w:bCs w:val="1"/>
          <w:u w:val="single" w:color="auto"/>
          <w:color w:val="auto"/>
        </w:rPr>
        <w:t>EXHIBIT A</w:t>
      </w: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FORM OF LIMITED PARTNER SIGNATURE PAGE</w:t>
      </w:r>
    </w:p>
    <w:p>
      <w:pPr>
        <w:spacing w:after="0" w:line="214"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2"/>
          <w:szCs w:val="22"/>
          <w:color w:val="auto"/>
        </w:rPr>
        <w:t>The Grantee, desiring to become one of the within named Limited Partners of The Macerich Partnership, L.P., hereby accepts all of the terms and conditons of (including, without limitaton, the provisions related to powers of atorney), and becomes a party to, the Amended and Restated Agreement of Limited Partnership of The Macerich Partnership, L.P., dated as of March 16, 1994, as amended from tme to tme (the “</w:t>
      </w:r>
      <w:r>
        <w:rPr>
          <w:rFonts w:ascii="Calibri" w:cs="Calibri" w:eastAsia="Calibri" w:hAnsi="Calibri"/>
          <w:sz w:val="22"/>
          <w:szCs w:val="22"/>
          <w:u w:val="single" w:color="auto"/>
          <w:color w:val="auto"/>
        </w:rPr>
        <w:t>Partnership Agreement</w:t>
      </w:r>
      <w:r>
        <w:rPr>
          <w:rFonts w:ascii="Calibri" w:cs="Calibri" w:eastAsia="Calibri" w:hAnsi="Calibri"/>
          <w:sz w:val="22"/>
          <w:szCs w:val="22"/>
          <w:color w:val="auto"/>
        </w:rPr>
        <w:t>”). The Grantee agrees that this signature page may be atached to any counterpart of the Partnership Agreement and further agrees as follows (where the term “Limited Partner” refers to the Grantee):</w:t>
      </w:r>
    </w:p>
    <w:p>
      <w:pPr>
        <w:spacing w:after="0" w:line="231" w:lineRule="exact"/>
        <w:rPr>
          <w:sz w:val="20"/>
          <w:szCs w:val="20"/>
          <w:color w:val="auto"/>
        </w:rPr>
      </w:pPr>
    </w:p>
    <w:p>
      <w:pPr>
        <w:jc w:val="both"/>
        <w:ind w:firstLine="656"/>
        <w:spacing w:after="0" w:line="229" w:lineRule="auto"/>
        <w:tabs>
          <w:tab w:leader="none" w:pos="1284" w:val="left"/>
        </w:tabs>
        <w:numPr>
          <w:ilvl w:val="0"/>
          <w:numId w:val="100"/>
        </w:numPr>
        <w:rPr>
          <w:rFonts w:ascii="Calibri" w:cs="Calibri" w:eastAsia="Calibri" w:hAnsi="Calibri"/>
          <w:sz w:val="22"/>
          <w:szCs w:val="22"/>
          <w:color w:val="auto"/>
        </w:rPr>
      </w:pPr>
      <w:r>
        <w:rPr>
          <w:rFonts w:ascii="Calibri" w:cs="Calibri" w:eastAsia="Calibri" w:hAnsi="Calibri"/>
          <w:sz w:val="22"/>
          <w:szCs w:val="22"/>
          <w:color w:val="auto"/>
        </w:rPr>
        <w:t>The Limited Partner hereby confrms that it has reviewed the terms of the Partnership Agreement and afrms and agrees that it is bound by each of the terms and conditons of the Partnership Agreement, including, without limitaton, the provisions thereof relatng to limitatons and restrictons on the transfer of Partnership Units. Without limitaton of the foregoing, the Limited Partner is deemed to have made all of the acknowledgements, waivers and agreements set forth in Sectons 10.6 and 13.11 of the Partnership Agreement.</w:t>
      </w:r>
    </w:p>
    <w:p>
      <w:pPr>
        <w:spacing w:after="0" w:line="217" w:lineRule="exact"/>
        <w:rPr>
          <w:rFonts w:ascii="Calibri" w:cs="Calibri" w:eastAsia="Calibri" w:hAnsi="Calibri"/>
          <w:sz w:val="22"/>
          <w:szCs w:val="22"/>
          <w:color w:val="auto"/>
        </w:rPr>
      </w:pPr>
    </w:p>
    <w:p>
      <w:pPr>
        <w:jc w:val="both"/>
        <w:ind w:firstLine="656"/>
        <w:spacing w:after="0" w:line="231" w:lineRule="auto"/>
        <w:tabs>
          <w:tab w:leader="none" w:pos="1284" w:val="left"/>
        </w:tabs>
        <w:numPr>
          <w:ilvl w:val="0"/>
          <w:numId w:val="100"/>
        </w:numPr>
        <w:rPr>
          <w:rFonts w:ascii="Calibri" w:cs="Calibri" w:eastAsia="Calibri" w:hAnsi="Calibri"/>
          <w:sz w:val="22"/>
          <w:szCs w:val="22"/>
          <w:color w:val="auto"/>
        </w:rPr>
      </w:pPr>
      <w:r>
        <w:rPr>
          <w:rFonts w:ascii="Calibri" w:cs="Calibri" w:eastAsia="Calibri" w:hAnsi="Calibri"/>
          <w:sz w:val="22"/>
          <w:szCs w:val="22"/>
          <w:color w:val="auto"/>
        </w:rPr>
        <w:t>The Limited Partner hereby confrms that it is acquiring the Partnership Units for its own account as principal, for investment and not with a view to resale or distributon, and that the Partnership Units may not be transferred or otherwise disposed of by the Limited Partner otherwise than in a transacton pursuant to a registraton statement fled by the Partnership (which it has no obligaton to fle) or that is exempt from the registraton requirements of the Securites Act of 1933, as amended (the “</w:t>
      </w:r>
      <w:r>
        <w:rPr>
          <w:rFonts w:ascii="Calibri" w:cs="Calibri" w:eastAsia="Calibri" w:hAnsi="Calibri"/>
          <w:sz w:val="22"/>
          <w:szCs w:val="22"/>
          <w:u w:val="single" w:color="auto"/>
          <w:color w:val="auto"/>
        </w:rPr>
        <w:t>Securites Act</w:t>
      </w:r>
      <w:r>
        <w:rPr>
          <w:rFonts w:ascii="Calibri" w:cs="Calibri" w:eastAsia="Calibri" w:hAnsi="Calibri"/>
          <w:sz w:val="22"/>
          <w:szCs w:val="22"/>
          <w:color w:val="auto"/>
        </w:rPr>
        <w:t>”), and all applicable state and foreign securites laws, and the General Partner may refuse to transfer any Partnership Units as to which evidence of such registraton or exempton from registraton satsfactory to the General Partner is not provided to it, which evidence may include the requirement of a legal opinion regarding the exempton from such registraton. If the General Partner delivers to the Limited Partner shares of common stock of the General Partner (“</w:t>
      </w:r>
      <w:r>
        <w:rPr>
          <w:rFonts w:ascii="Calibri" w:cs="Calibri" w:eastAsia="Calibri" w:hAnsi="Calibri"/>
          <w:sz w:val="22"/>
          <w:szCs w:val="22"/>
          <w:u w:val="single" w:color="auto"/>
          <w:color w:val="auto"/>
        </w:rPr>
        <w:t>Common Shares</w:t>
      </w:r>
      <w:r>
        <w:rPr>
          <w:rFonts w:ascii="Calibri" w:cs="Calibri" w:eastAsia="Calibri" w:hAnsi="Calibri"/>
          <w:sz w:val="22"/>
          <w:szCs w:val="22"/>
          <w:color w:val="auto"/>
        </w:rPr>
        <w:t>”) upon redempton of any Partnership Units, the Common Shares will be acquired for the Limited Partner’s own account as principal, for investment and not with a view to resale or distributon, and the Common Shares may not be transferred or otherwise disposed of by the Limited Partner otherwise than in a transacton pursuant to a registraton statement fled by the General Partner with respect to such Common Shares (which it has no obligaton under the Partnership Agreement to fle) or that is exempt from the registraton requirements of the Securites Act and all applicable state and foreign securites laws, and the General Partner may refuse to transfer any Common Shares as to which evidence of such registraton or exempton from such registraton satsfactory to the General Partner is not provided to it, which evidence may include the requirement of a legal opinion regarding the exempton from such registraton.</w:t>
      </w:r>
    </w:p>
    <w:p>
      <w:pPr>
        <w:spacing w:after="0" w:line="224" w:lineRule="exact"/>
        <w:rPr>
          <w:rFonts w:ascii="Calibri" w:cs="Calibri" w:eastAsia="Calibri" w:hAnsi="Calibri"/>
          <w:sz w:val="22"/>
          <w:szCs w:val="22"/>
          <w:color w:val="auto"/>
        </w:rPr>
      </w:pPr>
    </w:p>
    <w:p>
      <w:pPr>
        <w:jc w:val="both"/>
        <w:ind w:firstLine="656"/>
        <w:spacing w:after="0" w:line="233" w:lineRule="auto"/>
        <w:tabs>
          <w:tab w:leader="none" w:pos="1284" w:val="left"/>
        </w:tabs>
        <w:numPr>
          <w:ilvl w:val="0"/>
          <w:numId w:val="100"/>
        </w:numPr>
        <w:rPr>
          <w:rFonts w:ascii="Calibri" w:cs="Calibri" w:eastAsia="Calibri" w:hAnsi="Calibri"/>
          <w:sz w:val="22"/>
          <w:szCs w:val="22"/>
          <w:color w:val="auto"/>
        </w:rPr>
      </w:pPr>
      <w:r>
        <w:rPr>
          <w:rFonts w:ascii="Calibri" w:cs="Calibri" w:eastAsia="Calibri" w:hAnsi="Calibri"/>
          <w:sz w:val="22"/>
          <w:szCs w:val="22"/>
          <w:color w:val="auto"/>
        </w:rPr>
        <w:t>The Limited Partner hereby afrms that it has appointed the General Partner, any liquidator and authorized ofcers and atorneys-in-fact of each, and each of those actng singly, in each case with full power of substtuton, as its true and lawful agent and atorney-in-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A-1</w:t>
      </w:r>
    </w:p>
    <w:p>
      <w:pPr>
        <w:sectPr>
          <w:pgSz w:w="11900" w:h="16838" w:orient="portrait"/>
          <w:cols w:equalWidth="0" w:num="1">
            <w:col w:w="11240"/>
          </w:cols>
          <w:pgMar w:left="320" w:top="1396" w:right="339" w:bottom="1440" w:gutter="0" w:footer="0" w:header="0"/>
        </w:sectPr>
      </w:pPr>
    </w:p>
    <w:bookmarkStart w:id="98" w:name="page99"/>
    <w:bookmarkEnd w:id="98"/>
    <w:p>
      <w:pPr>
        <w:jc w:val="both"/>
        <w:spacing w:after="0" w:line="231" w:lineRule="auto"/>
        <w:rPr>
          <w:sz w:val="20"/>
          <w:szCs w:val="20"/>
          <w:color w:val="auto"/>
        </w:rPr>
      </w:pPr>
      <w:r>
        <w:rPr>
          <w:rFonts w:ascii="Calibri" w:cs="Calibri" w:eastAsia="Calibri" w:hAnsi="Calibri"/>
          <w:sz w:val="22"/>
          <w:szCs w:val="22"/>
          <w:color w:val="auto"/>
        </w:rPr>
        <w:t>fact, with full power and authority in its name, place and stead, in accordance with Secton 6.10 of the Partnership Agreement, which Secton is hereby incorporated by reference. The foregoing power of atorney is hereby declared to be irrevocable and a power coupled with an interest, and it shall survive and not be afected by the death, incompetency, dissoluton, disability, incapacity, bankruptcy or terminaton of the Limited Partner and shall extend to the Limited Partner’s heirs, executors, administrators, legal representatves, successors and assigns.</w:t>
      </w:r>
    </w:p>
    <w:p>
      <w:pPr>
        <w:spacing w:after="0" w:line="220" w:lineRule="exact"/>
        <w:rPr>
          <w:sz w:val="20"/>
          <w:szCs w:val="20"/>
          <w:color w:val="auto"/>
        </w:rPr>
      </w:pPr>
    </w:p>
    <w:p>
      <w:pPr>
        <w:jc w:val="both"/>
        <w:ind w:firstLine="656"/>
        <w:spacing w:after="0" w:line="242" w:lineRule="auto"/>
        <w:tabs>
          <w:tab w:leader="none" w:pos="1284" w:val="left"/>
        </w:tabs>
        <w:numPr>
          <w:ilvl w:val="0"/>
          <w:numId w:val="101"/>
        </w:numPr>
        <w:rPr>
          <w:rFonts w:ascii="Calibri" w:cs="Calibri" w:eastAsia="Calibri" w:hAnsi="Calibri"/>
          <w:sz w:val="21"/>
          <w:szCs w:val="21"/>
          <w:color w:val="auto"/>
        </w:rPr>
      </w:pPr>
      <w:r>
        <w:rPr>
          <w:rFonts w:ascii="Calibri" w:cs="Calibri" w:eastAsia="Calibri" w:hAnsi="Calibri"/>
          <w:sz w:val="21"/>
          <w:szCs w:val="21"/>
          <w:color w:val="auto"/>
        </w:rPr>
        <w:t>The Limited Partner hereby irrevocably consents in advance to any amendment to the Partnership Agreement, as may be recommended by the General Partner, intended to avoid the Partnership being treated as a publicly-traded partnership within the meaning of Secton 7704 of the Internal Revenue Code, including, without limitaton, (a) any amendment to the provisions of Secton 9.1 or the Redempton Rights Exhibit of the Partnership Agreement intended to increase the waitng period between the delivery of a notce of redempton and the redempton date to up to sixty (60) days or (b) any other amendment to the Partnership Agreement intended to make the redempton and transfer provisions, with respect to certain redemptons and transfers, more similar to the provisions described in Treasury Regulatons Secton 1.7704 1(f).</w:t>
      </w:r>
    </w:p>
    <w:p>
      <w:pPr>
        <w:spacing w:after="0" w:line="215" w:lineRule="exact"/>
        <w:rPr>
          <w:rFonts w:ascii="Calibri" w:cs="Calibri" w:eastAsia="Calibri" w:hAnsi="Calibri"/>
          <w:sz w:val="21"/>
          <w:szCs w:val="21"/>
          <w:color w:val="auto"/>
        </w:rPr>
      </w:pPr>
    </w:p>
    <w:p>
      <w:pPr>
        <w:jc w:val="both"/>
        <w:ind w:firstLine="656"/>
        <w:spacing w:after="0" w:line="231" w:lineRule="auto"/>
        <w:tabs>
          <w:tab w:leader="none" w:pos="1284" w:val="left"/>
        </w:tabs>
        <w:numPr>
          <w:ilvl w:val="0"/>
          <w:numId w:val="101"/>
        </w:numPr>
        <w:rPr>
          <w:rFonts w:ascii="Calibri" w:cs="Calibri" w:eastAsia="Calibri" w:hAnsi="Calibri"/>
          <w:sz w:val="22"/>
          <w:szCs w:val="22"/>
          <w:color w:val="auto"/>
        </w:rPr>
      </w:pPr>
      <w:r>
        <w:rPr>
          <w:rFonts w:ascii="Calibri" w:cs="Calibri" w:eastAsia="Calibri" w:hAnsi="Calibri"/>
          <w:sz w:val="22"/>
          <w:szCs w:val="22"/>
          <w:color w:val="auto"/>
        </w:rPr>
        <w:t>The Limited Partner hereby appoints the General Partner, any Liquidator and authorized ofcers and atorneys-in-fact of each, and each of those actng singly, in each case with full power of substtuton, as its true and lawful agent and atorney-in-fact, with full power and authority in its name, place and stead, to execute and deliver any amendment referred to in the foregoing paragraph 4(a) on the Limited Partner’s behalf. The foregoing power of atorney is hereby declared to be irrevocable and a power coupled with an interest, and it shall survive and not be afected by the death, incompetency, dissoluton, disability, incapacity, bankruptcy or terminaton of the Limited Partner and shall extend to the Limited Partner’s heirs, executors, administrators, legal representatves, successors and assigns.</w:t>
      </w:r>
    </w:p>
    <w:p>
      <w:pPr>
        <w:spacing w:after="0" w:line="229" w:lineRule="exact"/>
        <w:rPr>
          <w:rFonts w:ascii="Calibri" w:cs="Calibri" w:eastAsia="Calibri" w:hAnsi="Calibri"/>
          <w:sz w:val="22"/>
          <w:szCs w:val="22"/>
          <w:color w:val="auto"/>
        </w:rPr>
      </w:pPr>
    </w:p>
    <w:p>
      <w:pPr>
        <w:jc w:val="both"/>
        <w:ind w:firstLine="656"/>
        <w:spacing w:after="0" w:line="230" w:lineRule="auto"/>
        <w:tabs>
          <w:tab w:leader="none" w:pos="1284" w:val="left"/>
        </w:tabs>
        <w:numPr>
          <w:ilvl w:val="0"/>
          <w:numId w:val="101"/>
        </w:numPr>
        <w:rPr>
          <w:rFonts w:ascii="Calibri" w:cs="Calibri" w:eastAsia="Calibri" w:hAnsi="Calibri"/>
          <w:sz w:val="22"/>
          <w:szCs w:val="22"/>
          <w:color w:val="auto"/>
        </w:rPr>
      </w:pPr>
      <w:r>
        <w:rPr>
          <w:rFonts w:ascii="Calibri" w:cs="Calibri" w:eastAsia="Calibri" w:hAnsi="Calibri"/>
          <w:sz w:val="22"/>
          <w:szCs w:val="22"/>
          <w:color w:val="auto"/>
        </w:rPr>
        <w:t>The Limited Partner agrees that it will not transfer any interest in the Partnership Units (i) through a natonal, non-U.S., regional, local or other securites exchange or (ii) an over-the-counter market (including an interdealer quotaton system that regularly disseminates frm buy or sell quotatons by identfed brokers or dealers by electronic means or otherwise) or (iii) to or through (a) a person, such as a broker or dealer, that makes a market in, or regularly quotes prices for, interests in the Partnership or (b) a person that regularly makes available to the public (including customers or subscribers) bid or ofer quotes with respect to any interests in the Partnership and stands ready to efect transactons at the quoted prices for itself or on behalf of others.</w:t>
      </w:r>
    </w:p>
    <w:p>
      <w:pPr>
        <w:spacing w:after="0" w:line="223" w:lineRule="exact"/>
        <w:rPr>
          <w:rFonts w:ascii="Calibri" w:cs="Calibri" w:eastAsia="Calibri" w:hAnsi="Calibri"/>
          <w:sz w:val="22"/>
          <w:szCs w:val="22"/>
          <w:color w:val="auto"/>
        </w:rPr>
      </w:pPr>
    </w:p>
    <w:p>
      <w:pPr>
        <w:jc w:val="both"/>
        <w:ind w:firstLine="656"/>
        <w:spacing w:after="0" w:line="229" w:lineRule="auto"/>
        <w:tabs>
          <w:tab w:leader="none" w:pos="1284" w:val="left"/>
        </w:tabs>
        <w:numPr>
          <w:ilvl w:val="0"/>
          <w:numId w:val="101"/>
        </w:numPr>
        <w:rPr>
          <w:rFonts w:ascii="Calibri" w:cs="Calibri" w:eastAsia="Calibri" w:hAnsi="Calibri"/>
          <w:sz w:val="22"/>
          <w:szCs w:val="22"/>
          <w:color w:val="auto"/>
        </w:rPr>
      </w:pPr>
      <w:r>
        <w:rPr>
          <w:rFonts w:ascii="Calibri" w:cs="Calibri" w:eastAsia="Calibri" w:hAnsi="Calibri"/>
          <w:sz w:val="22"/>
          <w:szCs w:val="22"/>
          <w:color w:val="auto"/>
        </w:rPr>
        <w:t xml:space="preserve">The Limited Partner acknowledges that the General Partner shall be a third party benefciary of the representatons, covenants and agreements set forth in </w:t>
      </w:r>
      <w:r>
        <w:rPr>
          <w:rFonts w:ascii="Calibri" w:cs="Calibri" w:eastAsia="Calibri" w:hAnsi="Calibri"/>
          <w:sz w:val="22"/>
          <w:szCs w:val="22"/>
          <w:u w:val="single" w:color="auto"/>
          <w:color w:val="auto"/>
        </w:rPr>
        <w:t>Sectons 4</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hereof. The Limited Partner agrees that it will transfer, whether by assignment or otherwise, Partnership Units only to the General Partner or to transferees that provide the Partnership and the General Partner with the representatons and covenants set forth in </w:t>
      </w:r>
      <w:r>
        <w:rPr>
          <w:rFonts w:ascii="Calibri" w:cs="Calibri" w:eastAsia="Calibri" w:hAnsi="Calibri"/>
          <w:sz w:val="22"/>
          <w:szCs w:val="22"/>
          <w:u w:val="single" w:color="auto"/>
          <w:color w:val="auto"/>
        </w:rPr>
        <w:t>Sectons 4</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A-2</w:t>
      </w:r>
    </w:p>
    <w:p>
      <w:pPr>
        <w:sectPr>
          <w:pgSz w:w="11900" w:h="16838" w:orient="portrait"/>
          <w:cols w:equalWidth="0" w:num="1">
            <w:col w:w="11240"/>
          </w:cols>
          <w:pgMar w:left="320" w:top="1407" w:right="339" w:bottom="1440" w:gutter="0" w:footer="0" w:header="0"/>
        </w:sectPr>
      </w:pPr>
    </w:p>
    <w:bookmarkStart w:id="99" w:name="page100"/>
    <w:bookmarkEnd w:id="99"/>
    <w:p>
      <w:pPr>
        <w:ind w:left="-20" w:firstLine="656"/>
        <w:spacing w:after="0" w:line="229" w:lineRule="auto"/>
        <w:tabs>
          <w:tab w:leader="none" w:pos="1264" w:val="left"/>
        </w:tabs>
        <w:numPr>
          <w:ilvl w:val="0"/>
          <w:numId w:val="102"/>
        </w:numPr>
        <w:rPr>
          <w:rFonts w:ascii="Calibri" w:cs="Calibri" w:eastAsia="Calibri" w:hAnsi="Calibri"/>
          <w:sz w:val="22"/>
          <w:szCs w:val="22"/>
          <w:color w:val="auto"/>
        </w:rPr>
      </w:pPr>
      <w:r>
        <w:rPr>
          <w:rFonts w:ascii="Calibri" w:cs="Calibri" w:eastAsia="Calibri" w:hAnsi="Calibri"/>
          <w:sz w:val="22"/>
          <w:szCs w:val="22"/>
          <w:color w:val="auto"/>
        </w:rPr>
        <w:t>This Acceptance shall be construed and enforced in accordance with and governed by the laws of the State of Delaware, without regard to the principles of conficts of law.</w:t>
      </w:r>
    </w:p>
    <w:p>
      <w:pPr>
        <w:spacing w:after="0" w:line="204" w:lineRule="exact"/>
        <w:rPr>
          <w:sz w:val="20"/>
          <w:szCs w:val="20"/>
          <w:color w:val="auto"/>
        </w:rPr>
      </w:pPr>
    </w:p>
    <w:p>
      <w:pPr>
        <w:ind w:left="3880"/>
        <w:spacing w:after="0"/>
        <w:rPr>
          <w:sz w:val="20"/>
          <w:szCs w:val="20"/>
          <w:color w:val="auto"/>
        </w:rPr>
      </w:pPr>
      <w:r>
        <w:rPr>
          <w:rFonts w:ascii="Calibri" w:cs="Calibri" w:eastAsia="Calibri" w:hAnsi="Calibri"/>
          <w:sz w:val="22"/>
          <w:szCs w:val="22"/>
          <w:color w:val="auto"/>
        </w:rPr>
        <w:t>Signature Line for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558165</wp:posOffset>
            </wp:positionV>
            <wp:extent cx="1238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80"/>
        <w:spacing w:after="0"/>
        <w:rPr>
          <w:sz w:val="20"/>
          <w:szCs w:val="20"/>
          <w:color w:val="auto"/>
        </w:rPr>
      </w:pPr>
      <w:r>
        <w:rPr>
          <w:rFonts w:ascii="Calibri" w:cs="Calibri" w:eastAsia="Calibri" w:hAnsi="Calibri"/>
          <w:sz w:val="22"/>
          <w:szCs w:val="22"/>
          <w:color w:val="auto"/>
        </w:rPr>
        <w:t>Date: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A-3</w:t>
      </w:r>
    </w:p>
    <w:p>
      <w:pPr>
        <w:sectPr>
          <w:pgSz w:w="11900" w:h="16838" w:orient="portrait"/>
          <w:cols w:equalWidth="0" w:num="1">
            <w:col w:w="11200"/>
          </w:cols>
          <w:pgMar w:left="340" w:top="1407" w:right="359" w:bottom="1440" w:gutter="0" w:footer="0" w:header="0"/>
        </w:sectPr>
      </w:pPr>
    </w:p>
    <w:bookmarkStart w:id="100" w:name="page101"/>
    <w:bookmarkEnd w:id="100"/>
    <w:p>
      <w:pPr>
        <w:jc w:val="center"/>
        <w:spacing w:after="0"/>
        <w:rPr>
          <w:sz w:val="20"/>
          <w:szCs w:val="20"/>
          <w:color w:val="auto"/>
        </w:rPr>
      </w:pPr>
      <w:r>
        <w:rPr>
          <w:rFonts w:ascii="Calibri" w:cs="Calibri" w:eastAsia="Calibri" w:hAnsi="Calibri"/>
          <w:sz w:val="22"/>
          <w:szCs w:val="22"/>
          <w:b w:val="1"/>
          <w:bCs w:val="1"/>
          <w:u w:val="single" w:color="auto"/>
          <w:color w:val="auto"/>
        </w:rPr>
        <w:t>EXHIBIT B</w:t>
      </w:r>
    </w:p>
    <w:p>
      <w:pPr>
        <w:spacing w:after="0" w:line="204" w:lineRule="exact"/>
        <w:rPr>
          <w:sz w:val="20"/>
          <w:szCs w:val="20"/>
          <w:color w:val="auto"/>
        </w:rPr>
      </w:pPr>
    </w:p>
    <w:p>
      <w:pPr>
        <w:ind w:left="2800"/>
        <w:spacing w:after="0"/>
        <w:rPr>
          <w:sz w:val="20"/>
          <w:szCs w:val="20"/>
          <w:color w:val="auto"/>
        </w:rPr>
      </w:pPr>
      <w:r>
        <w:rPr>
          <w:rFonts w:ascii="Calibri" w:cs="Calibri" w:eastAsia="Calibri" w:hAnsi="Calibri"/>
          <w:sz w:val="22"/>
          <w:szCs w:val="22"/>
          <w:b w:val="1"/>
          <w:bCs w:val="1"/>
          <w:color w:val="auto"/>
        </w:rPr>
        <w:t>GRANTEE’S COVENANTS, REPRESENTATIONS AND WARRANTIES</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The Grantee hereby represents, warrants and covenants as follows:</w:t>
      </w:r>
    </w:p>
    <w:p>
      <w:pPr>
        <w:spacing w:after="0" w:line="244" w:lineRule="exact"/>
        <w:rPr>
          <w:sz w:val="20"/>
          <w:szCs w:val="20"/>
          <w:color w:val="auto"/>
        </w:rPr>
      </w:pPr>
    </w:p>
    <w:p>
      <w:pPr>
        <w:ind w:left="1960" w:hanging="656"/>
        <w:spacing w:after="0"/>
        <w:tabs>
          <w:tab w:leader="none" w:pos="1960" w:val="left"/>
        </w:tabs>
        <w:numPr>
          <w:ilvl w:val="0"/>
          <w:numId w:val="103"/>
        </w:numPr>
        <w:rPr>
          <w:rFonts w:ascii="Cambria" w:cs="Cambria" w:eastAsia="Cambria" w:hAnsi="Cambria"/>
          <w:sz w:val="22"/>
          <w:szCs w:val="22"/>
          <w:b w:val="1"/>
          <w:bCs w:val="1"/>
          <w:color w:val="auto"/>
        </w:rPr>
      </w:pPr>
      <w:r>
        <w:rPr>
          <w:rFonts w:ascii="Calibri" w:cs="Calibri" w:eastAsia="Calibri" w:hAnsi="Calibri"/>
          <w:sz w:val="22"/>
          <w:szCs w:val="22"/>
          <w:color w:val="auto"/>
        </w:rPr>
        <w:t>The Grantee has received and had an opportunity to review the following documents (the “</w:t>
      </w:r>
      <w:r>
        <w:rPr>
          <w:rFonts w:ascii="Calibri" w:cs="Calibri" w:eastAsia="Calibri" w:hAnsi="Calibri"/>
          <w:sz w:val="22"/>
          <w:szCs w:val="22"/>
          <w:u w:val="single" w:color="auto"/>
          <w:color w:val="auto"/>
        </w:rPr>
        <w:t>Background</w:t>
      </w:r>
    </w:p>
    <w:p>
      <w:pPr>
        <w:spacing w:after="0" w:line="229" w:lineRule="auto"/>
        <w:rPr>
          <w:sz w:val="20"/>
          <w:szCs w:val="20"/>
          <w:color w:val="auto"/>
        </w:rPr>
      </w:pPr>
      <w:r>
        <w:rPr>
          <w:rFonts w:ascii="Calibri" w:cs="Calibri" w:eastAsia="Calibri" w:hAnsi="Calibri"/>
          <w:sz w:val="22"/>
          <w:szCs w:val="22"/>
          <w:u w:val="single" w:color="auto"/>
          <w:color w:val="auto"/>
        </w:rPr>
        <w:t>Documents</w:t>
      </w:r>
      <w:r>
        <w:rPr>
          <w:rFonts w:ascii="Calibri" w:cs="Calibri" w:eastAsia="Calibri" w:hAnsi="Calibri"/>
          <w:sz w:val="22"/>
          <w:szCs w:val="22"/>
          <w:color w:val="auto"/>
        </w:rPr>
        <w:t>”):</w:t>
      </w:r>
    </w:p>
    <w:p>
      <w:pPr>
        <w:spacing w:after="0" w:line="204" w:lineRule="exact"/>
        <w:rPr>
          <w:sz w:val="20"/>
          <w:szCs w:val="20"/>
          <w:color w:val="auto"/>
        </w:rPr>
      </w:pPr>
    </w:p>
    <w:p>
      <w:pPr>
        <w:ind w:left="2600" w:hanging="648"/>
        <w:spacing w:after="0"/>
        <w:tabs>
          <w:tab w:leader="none" w:pos="2600" w:val="left"/>
        </w:tabs>
        <w:numPr>
          <w:ilvl w:val="0"/>
          <w:numId w:val="104"/>
        </w:numPr>
        <w:rPr>
          <w:rFonts w:ascii="Calibri" w:cs="Calibri" w:eastAsia="Calibri" w:hAnsi="Calibri"/>
          <w:sz w:val="22"/>
          <w:szCs w:val="22"/>
          <w:color w:val="auto"/>
        </w:rPr>
      </w:pPr>
      <w:r>
        <w:rPr>
          <w:rFonts w:ascii="Calibri" w:cs="Calibri" w:eastAsia="Calibri" w:hAnsi="Calibri"/>
          <w:sz w:val="22"/>
          <w:szCs w:val="22"/>
          <w:color w:val="auto"/>
        </w:rPr>
        <w:t>The Company’s latest Annual Report to Stockholders;</w:t>
      </w:r>
    </w:p>
    <w:p>
      <w:pPr>
        <w:spacing w:after="0" w:line="203" w:lineRule="exact"/>
        <w:rPr>
          <w:rFonts w:ascii="Calibri" w:cs="Calibri" w:eastAsia="Calibri" w:hAnsi="Calibri"/>
          <w:sz w:val="22"/>
          <w:szCs w:val="22"/>
          <w:color w:val="auto"/>
        </w:rPr>
      </w:pPr>
    </w:p>
    <w:p>
      <w:pPr>
        <w:ind w:left="2580" w:hanging="628"/>
        <w:spacing w:after="0"/>
        <w:tabs>
          <w:tab w:leader="none" w:pos="2580" w:val="left"/>
        </w:tabs>
        <w:numPr>
          <w:ilvl w:val="0"/>
          <w:numId w:val="104"/>
        </w:numPr>
        <w:rPr>
          <w:rFonts w:ascii="Calibri" w:cs="Calibri" w:eastAsia="Calibri" w:hAnsi="Calibri"/>
          <w:sz w:val="22"/>
          <w:szCs w:val="22"/>
          <w:color w:val="auto"/>
        </w:rPr>
      </w:pPr>
      <w:r>
        <w:rPr>
          <w:rFonts w:ascii="Calibri" w:cs="Calibri" w:eastAsia="Calibri" w:hAnsi="Calibri"/>
          <w:sz w:val="22"/>
          <w:szCs w:val="22"/>
          <w:color w:val="auto"/>
        </w:rPr>
        <w:t>The Company’s Proxy Statement for its most recent Annual Meetng of Stockholders;</w:t>
      </w:r>
    </w:p>
    <w:p>
      <w:pPr>
        <w:spacing w:after="0" w:line="203" w:lineRule="exact"/>
        <w:rPr>
          <w:rFonts w:ascii="Calibri" w:cs="Calibri" w:eastAsia="Calibri" w:hAnsi="Calibri"/>
          <w:sz w:val="22"/>
          <w:szCs w:val="22"/>
          <w:color w:val="auto"/>
        </w:rPr>
      </w:pPr>
    </w:p>
    <w:p>
      <w:pPr>
        <w:ind w:left="2600" w:hanging="648"/>
        <w:spacing w:after="0"/>
        <w:tabs>
          <w:tab w:leader="none" w:pos="2600" w:val="left"/>
        </w:tabs>
        <w:numPr>
          <w:ilvl w:val="0"/>
          <w:numId w:val="104"/>
        </w:numPr>
        <w:rPr>
          <w:rFonts w:ascii="Calibri" w:cs="Calibri" w:eastAsia="Calibri" w:hAnsi="Calibri"/>
          <w:sz w:val="22"/>
          <w:szCs w:val="22"/>
          <w:color w:val="auto"/>
        </w:rPr>
      </w:pPr>
      <w:r>
        <w:rPr>
          <w:rFonts w:ascii="Calibri" w:cs="Calibri" w:eastAsia="Calibri" w:hAnsi="Calibri"/>
          <w:sz w:val="22"/>
          <w:szCs w:val="22"/>
          <w:color w:val="auto"/>
        </w:rPr>
        <w:t>The Company’s Report on Form 10-K for the fscal year most recently ended;</w:t>
      </w:r>
    </w:p>
    <w:p>
      <w:pPr>
        <w:spacing w:after="0" w:line="228" w:lineRule="exact"/>
        <w:rPr>
          <w:rFonts w:ascii="Calibri" w:cs="Calibri" w:eastAsia="Calibri" w:hAnsi="Calibri"/>
          <w:sz w:val="22"/>
          <w:szCs w:val="22"/>
          <w:color w:val="auto"/>
        </w:rPr>
      </w:pPr>
    </w:p>
    <w:p>
      <w:pPr>
        <w:ind w:left="660" w:firstLine="1292"/>
        <w:spacing w:after="0" w:line="229" w:lineRule="auto"/>
        <w:tabs>
          <w:tab w:leader="none" w:pos="2599" w:val="left"/>
        </w:tabs>
        <w:numPr>
          <w:ilvl w:val="0"/>
          <w:numId w:val="104"/>
        </w:numPr>
        <w:rPr>
          <w:rFonts w:ascii="Calibri" w:cs="Calibri" w:eastAsia="Calibri" w:hAnsi="Calibri"/>
          <w:sz w:val="22"/>
          <w:szCs w:val="22"/>
          <w:color w:val="auto"/>
        </w:rPr>
      </w:pPr>
      <w:r>
        <w:rPr>
          <w:rFonts w:ascii="Calibri" w:cs="Calibri" w:eastAsia="Calibri" w:hAnsi="Calibri"/>
          <w:sz w:val="22"/>
          <w:szCs w:val="22"/>
          <w:color w:val="auto"/>
        </w:rPr>
        <w:t>The Company’s Form 10-Q, if any, for the most recently ended quarter fled by the Company with the Securites and Exchange Commission since the fling of the Form 10-K described in clause (iii) above;</w:t>
      </w:r>
    </w:p>
    <w:p>
      <w:pPr>
        <w:spacing w:after="0" w:line="216" w:lineRule="exact"/>
        <w:rPr>
          <w:rFonts w:ascii="Calibri" w:cs="Calibri" w:eastAsia="Calibri" w:hAnsi="Calibri"/>
          <w:sz w:val="22"/>
          <w:szCs w:val="22"/>
          <w:color w:val="auto"/>
        </w:rPr>
      </w:pPr>
    </w:p>
    <w:p>
      <w:pPr>
        <w:ind w:left="660" w:firstLine="1292"/>
        <w:spacing w:after="0" w:line="229" w:lineRule="auto"/>
        <w:tabs>
          <w:tab w:leader="none" w:pos="2603" w:val="left"/>
        </w:tabs>
        <w:numPr>
          <w:ilvl w:val="0"/>
          <w:numId w:val="104"/>
        </w:numPr>
        <w:rPr>
          <w:rFonts w:ascii="Calibri" w:cs="Calibri" w:eastAsia="Calibri" w:hAnsi="Calibri"/>
          <w:sz w:val="22"/>
          <w:szCs w:val="22"/>
          <w:color w:val="auto"/>
        </w:rPr>
      </w:pPr>
      <w:r>
        <w:rPr>
          <w:rFonts w:ascii="Calibri" w:cs="Calibri" w:eastAsia="Calibri" w:hAnsi="Calibri"/>
          <w:sz w:val="22"/>
          <w:szCs w:val="22"/>
          <w:color w:val="auto"/>
        </w:rPr>
        <w:t>Each of the Company’s Current Report(s) on Form 8-K, if any, fled since the end of the fscal year most recently ended for which a Form 10-K has been fled by the Company;</w:t>
      </w:r>
    </w:p>
    <w:p>
      <w:pPr>
        <w:spacing w:after="0" w:line="205" w:lineRule="exact"/>
        <w:rPr>
          <w:rFonts w:ascii="Calibri" w:cs="Calibri" w:eastAsia="Calibri" w:hAnsi="Calibri"/>
          <w:sz w:val="22"/>
          <w:szCs w:val="22"/>
          <w:color w:val="auto"/>
        </w:rPr>
      </w:pPr>
    </w:p>
    <w:p>
      <w:pPr>
        <w:ind w:left="2600" w:hanging="648"/>
        <w:spacing w:after="0"/>
        <w:tabs>
          <w:tab w:leader="none" w:pos="2600" w:val="left"/>
        </w:tabs>
        <w:numPr>
          <w:ilvl w:val="0"/>
          <w:numId w:val="104"/>
        </w:numPr>
        <w:rPr>
          <w:rFonts w:ascii="Calibri" w:cs="Calibri" w:eastAsia="Calibri" w:hAnsi="Calibri"/>
          <w:sz w:val="22"/>
          <w:szCs w:val="22"/>
          <w:color w:val="auto"/>
        </w:rPr>
      </w:pPr>
      <w:r>
        <w:rPr>
          <w:rFonts w:ascii="Calibri" w:cs="Calibri" w:eastAsia="Calibri" w:hAnsi="Calibri"/>
          <w:sz w:val="22"/>
          <w:szCs w:val="22"/>
          <w:color w:val="auto"/>
        </w:rPr>
        <w:t>The Partnership Agreement;</w:t>
      </w:r>
    </w:p>
    <w:p>
      <w:pPr>
        <w:spacing w:after="0" w:line="203" w:lineRule="exact"/>
        <w:rPr>
          <w:rFonts w:ascii="Calibri" w:cs="Calibri" w:eastAsia="Calibri" w:hAnsi="Calibri"/>
          <w:sz w:val="22"/>
          <w:szCs w:val="22"/>
          <w:color w:val="auto"/>
        </w:rPr>
      </w:pPr>
    </w:p>
    <w:p>
      <w:pPr>
        <w:ind w:left="2600" w:hanging="648"/>
        <w:spacing w:after="0"/>
        <w:tabs>
          <w:tab w:leader="none" w:pos="2600" w:val="left"/>
        </w:tabs>
        <w:numPr>
          <w:ilvl w:val="0"/>
          <w:numId w:val="104"/>
        </w:numPr>
        <w:rPr>
          <w:rFonts w:ascii="Calibri" w:cs="Calibri" w:eastAsia="Calibri" w:hAnsi="Calibri"/>
          <w:sz w:val="22"/>
          <w:szCs w:val="22"/>
          <w:color w:val="auto"/>
        </w:rPr>
      </w:pPr>
      <w:r>
        <w:rPr>
          <w:rFonts w:ascii="Calibri" w:cs="Calibri" w:eastAsia="Calibri" w:hAnsi="Calibri"/>
          <w:sz w:val="22"/>
          <w:szCs w:val="22"/>
          <w:color w:val="auto"/>
        </w:rPr>
        <w:t>The Stock Plan; and</w:t>
      </w:r>
    </w:p>
    <w:p>
      <w:pPr>
        <w:spacing w:after="0" w:line="217" w:lineRule="exact"/>
        <w:rPr>
          <w:rFonts w:ascii="Calibri" w:cs="Calibri" w:eastAsia="Calibri" w:hAnsi="Calibri"/>
          <w:sz w:val="22"/>
          <w:szCs w:val="22"/>
          <w:color w:val="auto"/>
        </w:rPr>
      </w:pPr>
    </w:p>
    <w:p>
      <w:pPr>
        <w:ind w:left="2600" w:hanging="648"/>
        <w:spacing w:after="0"/>
        <w:tabs>
          <w:tab w:leader="none" w:pos="2600" w:val="left"/>
        </w:tabs>
        <w:numPr>
          <w:ilvl w:val="0"/>
          <w:numId w:val="104"/>
        </w:numPr>
        <w:rPr>
          <w:rFonts w:ascii="Calibri" w:cs="Calibri" w:eastAsia="Calibri" w:hAnsi="Calibri"/>
          <w:sz w:val="22"/>
          <w:szCs w:val="22"/>
          <w:color w:val="auto"/>
        </w:rPr>
      </w:pPr>
      <w:r>
        <w:rPr>
          <w:rFonts w:ascii="Calibri" w:cs="Calibri" w:eastAsia="Calibri" w:hAnsi="Calibri"/>
          <w:sz w:val="22"/>
          <w:szCs w:val="22"/>
          <w:color w:val="auto"/>
        </w:rPr>
        <w:t>The Company’s Artcles of Amendment and Restatement, as amended.</w:t>
      </w:r>
    </w:p>
    <w:p>
      <w:pPr>
        <w:spacing w:after="0" w:line="215" w:lineRule="exact"/>
        <w:rPr>
          <w:sz w:val="20"/>
          <w:szCs w:val="20"/>
          <w:color w:val="auto"/>
        </w:rPr>
      </w:pPr>
    </w:p>
    <w:p>
      <w:pPr>
        <w:jc w:val="both"/>
        <w:ind w:firstLine="1296"/>
        <w:spacing w:after="0" w:line="229" w:lineRule="auto"/>
        <w:rPr>
          <w:sz w:val="20"/>
          <w:szCs w:val="20"/>
          <w:color w:val="auto"/>
        </w:rPr>
      </w:pPr>
      <w:r>
        <w:rPr>
          <w:rFonts w:ascii="Calibri" w:cs="Calibri" w:eastAsia="Calibri" w:hAnsi="Calibri"/>
          <w:sz w:val="22"/>
          <w:szCs w:val="22"/>
          <w:color w:val="auto"/>
        </w:rPr>
        <w:t>The Grantee also acknowledges that any delivery of the Background Documents and other informaton relatng to the Company and the Partnership prior to the determinaton by the Partnership of the suitability of the Grantee as a holder of Sign-On LTIP Units shall not consttute an ofer of Sign-On LTIP Units untl such determinaton of suitability shall be made.</w:t>
      </w:r>
    </w:p>
    <w:p>
      <w:pPr>
        <w:spacing w:after="0" w:line="233" w:lineRule="exact"/>
        <w:rPr>
          <w:sz w:val="20"/>
          <w:szCs w:val="20"/>
          <w:color w:val="auto"/>
        </w:rPr>
      </w:pPr>
    </w:p>
    <w:p>
      <w:pPr>
        <w:ind w:left="1980" w:hanging="676"/>
        <w:spacing w:after="0"/>
        <w:tabs>
          <w:tab w:leader="none" w:pos="1980" w:val="left"/>
        </w:tabs>
        <w:numPr>
          <w:ilvl w:val="0"/>
          <w:numId w:val="105"/>
        </w:numPr>
        <w:rPr>
          <w:rFonts w:ascii="Cambria" w:cs="Cambria" w:eastAsia="Cambria" w:hAnsi="Cambria"/>
          <w:sz w:val="22"/>
          <w:szCs w:val="22"/>
          <w:b w:val="1"/>
          <w:bCs w:val="1"/>
          <w:color w:val="auto"/>
        </w:rPr>
      </w:pPr>
      <w:r>
        <w:rPr>
          <w:rFonts w:ascii="Calibri" w:cs="Calibri" w:eastAsia="Calibri" w:hAnsi="Calibri"/>
          <w:sz w:val="22"/>
          <w:szCs w:val="22"/>
          <w:color w:val="auto"/>
        </w:rPr>
        <w:t>The Grantee hereby represents and warrants that:</w:t>
      </w:r>
    </w:p>
    <w:p>
      <w:pPr>
        <w:spacing w:after="0" w:line="227" w:lineRule="exact"/>
        <w:rPr>
          <w:rFonts w:ascii="Cambria" w:cs="Cambria" w:eastAsia="Cambria" w:hAnsi="Cambria"/>
          <w:sz w:val="22"/>
          <w:szCs w:val="22"/>
          <w:b w:val="1"/>
          <w:bCs w:val="1"/>
          <w:color w:val="auto"/>
        </w:rPr>
      </w:pPr>
    </w:p>
    <w:p>
      <w:pPr>
        <w:jc w:val="both"/>
        <w:ind w:left="660" w:firstLine="1292"/>
        <w:spacing w:after="0" w:line="231" w:lineRule="auto"/>
        <w:tabs>
          <w:tab w:leader="none" w:pos="2596" w:val="left"/>
        </w:tabs>
        <w:numPr>
          <w:ilvl w:val="1"/>
          <w:numId w:val="105"/>
        </w:numPr>
        <w:rPr>
          <w:rFonts w:ascii="Calibri" w:cs="Calibri" w:eastAsia="Calibri" w:hAnsi="Calibri"/>
          <w:sz w:val="22"/>
          <w:szCs w:val="22"/>
          <w:color w:val="auto"/>
        </w:rPr>
      </w:pPr>
      <w:r>
        <w:rPr>
          <w:rFonts w:ascii="Calibri" w:cs="Calibri" w:eastAsia="Calibri" w:hAnsi="Calibri"/>
          <w:sz w:val="22"/>
          <w:szCs w:val="22"/>
          <w:color w:val="auto"/>
        </w:rPr>
        <w:t>The Grantee either (A) is an “accredited investor” as defned in Rule 501(a) under the Securites Act, or (B) by reason of the business and fnancial experience of the Grantee, together with the business and fnancial experience of those persons, if any, retained by the Grantee to represent or advise him with respect to the grant to him of Sign-On LTIP Units, the potental conversion of Sign-On LTIP Units into units of limited partnership of the Partnership (“</w:t>
      </w:r>
      <w:r>
        <w:rPr>
          <w:rFonts w:ascii="Calibri" w:cs="Calibri" w:eastAsia="Calibri" w:hAnsi="Calibri"/>
          <w:sz w:val="22"/>
          <w:szCs w:val="22"/>
          <w:u w:val="single" w:color="auto"/>
          <w:color w:val="auto"/>
        </w:rPr>
        <w:t>Common Units</w:t>
      </w:r>
      <w:r>
        <w:rPr>
          <w:rFonts w:ascii="Calibri" w:cs="Calibri" w:eastAsia="Calibri" w:hAnsi="Calibri"/>
          <w:sz w:val="22"/>
          <w:szCs w:val="22"/>
          <w:color w:val="auto"/>
        </w:rPr>
        <w:t>”) and the potental redempton of such Common Units for shares the Company’s common stock (“</w:t>
      </w:r>
      <w:r>
        <w:rPr>
          <w:rFonts w:ascii="Calibri" w:cs="Calibri" w:eastAsia="Calibri" w:hAnsi="Calibri"/>
          <w:sz w:val="22"/>
          <w:szCs w:val="22"/>
          <w:u w:val="single" w:color="auto"/>
          <w:color w:val="auto"/>
        </w:rPr>
        <w:t>REIT</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Shares</w:t>
      </w:r>
      <w:r>
        <w:rPr>
          <w:rFonts w:ascii="Calibri" w:cs="Calibri" w:eastAsia="Calibri" w:hAnsi="Calibri"/>
          <w:sz w:val="22"/>
          <w:szCs w:val="22"/>
          <w:color w:val="auto"/>
        </w:rPr>
        <w:t>”), has such knowledge, sophistcaton and experience in fnancial and business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B-1</w:t>
      </w:r>
    </w:p>
    <w:p>
      <w:pPr>
        <w:sectPr>
          <w:pgSz w:w="11900" w:h="16838" w:orient="portrait"/>
          <w:cols w:equalWidth="0" w:num="1">
            <w:col w:w="11240"/>
          </w:cols>
          <w:pgMar w:left="320" w:top="1396" w:right="339" w:bottom="1440" w:gutter="0" w:footer="0" w:header="0"/>
        </w:sectPr>
      </w:pPr>
    </w:p>
    <w:bookmarkStart w:id="101" w:name="page102"/>
    <w:bookmarkEnd w:id="101"/>
    <w:p>
      <w:pPr>
        <w:jc w:val="both"/>
        <w:spacing w:after="0" w:line="232" w:lineRule="auto"/>
        <w:rPr>
          <w:sz w:val="20"/>
          <w:szCs w:val="20"/>
          <w:color w:val="auto"/>
        </w:rPr>
      </w:pPr>
      <w:r>
        <w:rPr>
          <w:rFonts w:ascii="Calibri" w:cs="Calibri" w:eastAsia="Calibri" w:hAnsi="Calibri"/>
          <w:sz w:val="22"/>
          <w:szCs w:val="22"/>
          <w:color w:val="auto"/>
        </w:rPr>
        <w:t>maters and in making investment decisions of this type that the Grantee (I) is capable of evaluatng the merits and risks of an investment in the Partnership and potental investment in the Company and of making an informed investment decision, (II) is capable of protectng his own interest or has engaged representatves or advisors to assist him in protectng his interests, and (III) is capable of bearing the economic risk of such investment.</w:t>
      </w:r>
    </w:p>
    <w:p>
      <w:pPr>
        <w:spacing w:after="0" w:line="217" w:lineRule="exact"/>
        <w:rPr>
          <w:sz w:val="20"/>
          <w:szCs w:val="20"/>
          <w:color w:val="auto"/>
        </w:rPr>
      </w:pPr>
    </w:p>
    <w:p>
      <w:pPr>
        <w:jc w:val="both"/>
        <w:ind w:firstLine="1292"/>
        <w:spacing w:after="0" w:line="230" w:lineRule="auto"/>
        <w:tabs>
          <w:tab w:leader="none" w:pos="1931" w:val="left"/>
        </w:tabs>
        <w:numPr>
          <w:ilvl w:val="0"/>
          <w:numId w:val="106"/>
        </w:numPr>
        <w:rPr>
          <w:rFonts w:ascii="Calibri" w:cs="Calibri" w:eastAsia="Calibri" w:hAnsi="Calibri"/>
          <w:sz w:val="22"/>
          <w:szCs w:val="22"/>
          <w:color w:val="auto"/>
        </w:rPr>
      </w:pPr>
      <w:r>
        <w:rPr>
          <w:rFonts w:ascii="Calibri" w:cs="Calibri" w:eastAsia="Calibri" w:hAnsi="Calibri"/>
          <w:sz w:val="22"/>
          <w:szCs w:val="22"/>
          <w:color w:val="auto"/>
        </w:rPr>
        <w:t>The Grantee, afer due inquiry, hereby certfes that for purposes of Rule 506(d) and Rule 506(e) of the Securites Act, he is not subject to any felony or misdemeanor convicton related to any securites mater; any federal or state order, judgment, decree or injuncton related to any securites, insurance, banking or U.S. Postal Service mater; any SEC disciplinary or cease and desist order; or any suspension, expulsion or bar related to a registered natonal securites exchange, natonal or afliated securites associaton or member thereof, whether it occurred or was issued before, on or afer September 23, 2013, and agrees that he will notfy the Company immediately upon becoming aware that the foregoing is not, or is no longer, complete and accurate in every material respect, including as a result of events occurring afer the date hereof.</w:t>
      </w:r>
    </w:p>
    <w:p>
      <w:pPr>
        <w:spacing w:after="0" w:line="222" w:lineRule="exact"/>
        <w:rPr>
          <w:rFonts w:ascii="Calibri" w:cs="Calibri" w:eastAsia="Calibri" w:hAnsi="Calibri"/>
          <w:sz w:val="22"/>
          <w:szCs w:val="22"/>
          <w:color w:val="auto"/>
        </w:rPr>
      </w:pPr>
    </w:p>
    <w:p>
      <w:pPr>
        <w:jc w:val="both"/>
        <w:ind w:firstLine="1292"/>
        <w:spacing w:after="0" w:line="242" w:lineRule="auto"/>
        <w:tabs>
          <w:tab w:leader="none" w:pos="1940" w:val="left"/>
        </w:tabs>
        <w:numPr>
          <w:ilvl w:val="0"/>
          <w:numId w:val="106"/>
        </w:numPr>
        <w:rPr>
          <w:rFonts w:ascii="Calibri" w:cs="Calibri" w:eastAsia="Calibri" w:hAnsi="Calibri"/>
          <w:sz w:val="21"/>
          <w:szCs w:val="21"/>
          <w:color w:val="auto"/>
        </w:rPr>
      </w:pPr>
      <w:r>
        <w:rPr>
          <w:rFonts w:ascii="Calibri" w:cs="Calibri" w:eastAsia="Calibri" w:hAnsi="Calibri"/>
          <w:sz w:val="21"/>
          <w:szCs w:val="21"/>
          <w:color w:val="auto"/>
        </w:rPr>
        <w:t xml:space="preserve">The Grantee understands that (A) the Grantee is responsible for consultng his own tax advisors with respect to the applicaton of the U.S. federal income tax laws, and the tax laws of any state, local or other taxing jurisdicton to which the Grantee is or by reason of the award of Sign-On LTIP Units may become subject, to his partcular situaton; (B) the Grantee has not received or relied upon business or tax advice from the Company, the Partnership or any of their respectve employees, agents, consultants or advisors, in their capacity as such; (C) the Grantee provides services to the Partnership on a regular basis and in such capacity has access to such informaton, and has such experience of and involvement in the business and operatons of the Partnership, as the Grantee believes to be necessary and appropriate to make an informed decision to accept the award of Sign-On LTIP Units; and (D) an investment in the Partnership and/or the Company involves substantal risks. The Grantee has been given the opportunity to make a thorough investgaton of maters relevant to the Sign-On LTIP Units and has been furnished with, and has reviewed and understands, materials relatng to the Partnership and the Company and their respectve actvites (including, but not limited to, the Background Documents). The Grantee has been aforded the opportunity to obtain any additonal informaton (including any exhibits to the Background Documents) deemed necessary by the Grantee to verify the accuracy of informaton conveyed to the Grantee. The Grantee confrms that all documents, records, and books pertaining to his receipt of Sign-On LTIP Units which were requested by the Grantee have been made available or delivered to the Grantee. The Grantee has had an opportunity to ask questons of and receive answers from the Partnership and the Company, or from a person or persons actng on their behalf, concerning the terms and conditons of the Sign-On LTIP Units. </w:t>
      </w:r>
      <w:r>
        <w:rPr>
          <w:rFonts w:ascii="Calibri" w:cs="Calibri" w:eastAsia="Calibri" w:hAnsi="Calibri"/>
          <w:sz w:val="21"/>
          <w:szCs w:val="21"/>
          <w:b w:val="1"/>
          <w:bCs w:val="1"/>
          <w:color w:val="auto"/>
        </w:rPr>
        <w:t>The Grantee has relied upon, and is making its decision solely upon, the Background</w:t>
      </w:r>
    </w:p>
    <w:p>
      <w:pPr>
        <w:spacing w:after="0" w:line="5" w:lineRule="exact"/>
        <w:rPr>
          <w:rFonts w:ascii="Calibri" w:cs="Calibri" w:eastAsia="Calibri" w:hAnsi="Calibri"/>
          <w:sz w:val="21"/>
          <w:szCs w:val="21"/>
          <w:color w:val="auto"/>
        </w:rPr>
      </w:pPr>
    </w:p>
    <w:p>
      <w:pPr>
        <w:spacing w:after="0"/>
        <w:rPr>
          <w:rFonts w:ascii="Calibri" w:cs="Calibri" w:eastAsia="Calibri" w:hAnsi="Calibri"/>
          <w:sz w:val="21"/>
          <w:szCs w:val="21"/>
          <w:color w:val="auto"/>
        </w:rPr>
      </w:pPr>
      <w:r>
        <w:rPr>
          <w:rFonts w:ascii="Calibri" w:cs="Calibri" w:eastAsia="Calibri" w:hAnsi="Calibri"/>
          <w:sz w:val="22"/>
          <w:szCs w:val="22"/>
          <w:b w:val="1"/>
          <w:bCs w:val="1"/>
          <w:color w:val="auto"/>
        </w:rPr>
        <w:t>Documents and other writen informaton provided to the Grantee by the Partnership or the Company.</w:t>
      </w:r>
    </w:p>
    <w:p>
      <w:pPr>
        <w:spacing w:after="0" w:line="200" w:lineRule="exact"/>
        <w:rPr>
          <w:sz w:val="20"/>
          <w:szCs w:val="20"/>
          <w:color w:val="auto"/>
        </w:rPr>
      </w:pPr>
    </w:p>
    <w:p>
      <w:pPr>
        <w:spacing w:after="0" w:line="287" w:lineRule="exact"/>
        <w:rPr>
          <w:sz w:val="20"/>
          <w:szCs w:val="20"/>
          <w:color w:val="auto"/>
        </w:rPr>
      </w:pPr>
    </w:p>
    <w:p>
      <w:pPr>
        <w:ind w:left="4820"/>
        <w:spacing w:after="0"/>
        <w:rPr>
          <w:sz w:val="20"/>
          <w:szCs w:val="20"/>
          <w:color w:val="auto"/>
        </w:rPr>
      </w:pPr>
      <w:r>
        <w:rPr>
          <w:rFonts w:ascii="Calibri" w:cs="Calibri" w:eastAsia="Calibri" w:hAnsi="Calibri"/>
          <w:sz w:val="22"/>
          <w:szCs w:val="22"/>
          <w:color w:val="auto"/>
        </w:rPr>
        <w:t>B-2</w:t>
      </w:r>
    </w:p>
    <w:p>
      <w:pPr>
        <w:sectPr>
          <w:pgSz w:w="11900" w:h="16838" w:orient="portrait"/>
          <w:cols w:equalWidth="0" w:num="1">
            <w:col w:w="10580"/>
          </w:cols>
          <w:pgMar w:left="980" w:top="1407" w:right="339" w:bottom="1440" w:gutter="0" w:footer="0" w:header="0"/>
        </w:sectPr>
      </w:pPr>
    </w:p>
    <w:bookmarkStart w:id="102" w:name="page103"/>
    <w:bookmarkEnd w:id="102"/>
    <w:p>
      <w:pPr>
        <w:jc w:val="both"/>
        <w:ind w:left="4" w:firstLine="1292"/>
        <w:spacing w:after="0" w:line="241" w:lineRule="auto"/>
        <w:tabs>
          <w:tab w:leader="none" w:pos="1943" w:val="left"/>
        </w:tabs>
        <w:numPr>
          <w:ilvl w:val="1"/>
          <w:numId w:val="107"/>
        </w:numPr>
        <w:rPr>
          <w:rFonts w:ascii="Calibri" w:cs="Calibri" w:eastAsia="Calibri" w:hAnsi="Calibri"/>
          <w:sz w:val="21"/>
          <w:szCs w:val="21"/>
          <w:color w:val="auto"/>
        </w:rPr>
      </w:pPr>
      <w:r>
        <w:rPr>
          <w:rFonts w:ascii="Calibri" w:cs="Calibri" w:eastAsia="Calibri" w:hAnsi="Calibri"/>
          <w:sz w:val="21"/>
          <w:szCs w:val="21"/>
          <w:color w:val="auto"/>
        </w:rPr>
        <w:t>The Sign-On LTIP Units to be issued, the Common Units issuable upon conversion of the Sign-On LTIP Units and any REIT Shares issued in connecton with the redempton of any such Common Units will be acquired for the account of the Grantee for investment only and not with a current view to, or with any intenton of, a distributon or resale thereof, in whole or in part, or the grant of any partcipaton therein, without prejudice, however, to the Grantee’s right (subject to the terms of the Sign-On LTIP Units, the Stock Plan, the Partnership Agreement, the artcles of organizaton of the Company, as amended, and this Agreement) at all tmes to sell or otherwise dispose of all or any part of his Sign-On LTIP Units, Common Units or REIT Shares in compliance with the Securites Act, and applicable state securites laws, and subject, nevertheless, to the dispositon of his assets being at all tmes within his control.</w:t>
      </w:r>
    </w:p>
    <w:p>
      <w:pPr>
        <w:spacing w:after="0" w:line="235" w:lineRule="exact"/>
        <w:rPr>
          <w:rFonts w:ascii="Calibri" w:cs="Calibri" w:eastAsia="Calibri" w:hAnsi="Calibri"/>
          <w:sz w:val="21"/>
          <w:szCs w:val="21"/>
          <w:color w:val="auto"/>
        </w:rPr>
      </w:pPr>
    </w:p>
    <w:p>
      <w:pPr>
        <w:jc w:val="both"/>
        <w:ind w:left="4" w:firstLine="1292"/>
        <w:spacing w:after="0"/>
        <w:tabs>
          <w:tab w:leader="none" w:pos="1947" w:val="left"/>
        </w:tabs>
        <w:numPr>
          <w:ilvl w:val="1"/>
          <w:numId w:val="107"/>
        </w:numPr>
        <w:rPr>
          <w:rFonts w:ascii="Calibri" w:cs="Calibri" w:eastAsia="Calibri" w:hAnsi="Calibri"/>
          <w:sz w:val="21"/>
          <w:szCs w:val="21"/>
          <w:color w:val="auto"/>
        </w:rPr>
      </w:pPr>
      <w:r>
        <w:rPr>
          <w:rFonts w:ascii="Calibri" w:cs="Calibri" w:eastAsia="Calibri" w:hAnsi="Calibri"/>
          <w:sz w:val="21"/>
          <w:szCs w:val="21"/>
          <w:color w:val="auto"/>
        </w:rPr>
        <w:t>The Grantee acknowledges that (A) neither the Sign-On LTIP Units to be issued, nor the Common Units issuable upon conversion of the Sign-On LTIP Units, have been registered under the Securites Act or state securites laws by reason of a specifc exempton or exemptons from registraton under the Securites Act and applicable state securites laws and, if such Sign-On LTIP Units or Common Units are represented by certfcates, such certfcates will bear a legend to such efect, (B) the reliance by the Partnership and the Company on such exemptons is predicated in part on the accuracy and completeness of the representatons and warrantes of the Grantee contained herein,</w:t>
      </w:r>
    </w:p>
    <w:p>
      <w:pPr>
        <w:spacing w:after="0" w:line="14" w:lineRule="exact"/>
        <w:rPr>
          <w:rFonts w:ascii="Calibri" w:cs="Calibri" w:eastAsia="Calibri" w:hAnsi="Calibri"/>
          <w:sz w:val="21"/>
          <w:szCs w:val="21"/>
          <w:color w:val="auto"/>
        </w:rPr>
      </w:pPr>
    </w:p>
    <w:p>
      <w:pPr>
        <w:jc w:val="both"/>
        <w:ind w:left="4" w:hanging="4"/>
        <w:spacing w:after="0" w:line="230" w:lineRule="auto"/>
        <w:tabs>
          <w:tab w:leader="none" w:pos="303" w:val="left"/>
        </w:tabs>
        <w:numPr>
          <w:ilvl w:val="0"/>
          <w:numId w:val="108"/>
        </w:numPr>
        <w:rPr>
          <w:rFonts w:ascii="Calibri" w:cs="Calibri" w:eastAsia="Calibri" w:hAnsi="Calibri"/>
          <w:sz w:val="22"/>
          <w:szCs w:val="22"/>
          <w:color w:val="auto"/>
        </w:rPr>
      </w:pPr>
      <w:r>
        <w:rPr>
          <w:rFonts w:ascii="Calibri" w:cs="Calibri" w:eastAsia="Calibri" w:hAnsi="Calibri"/>
          <w:sz w:val="22"/>
          <w:szCs w:val="22"/>
          <w:color w:val="auto"/>
        </w:rPr>
        <w:t>such Sign-On LTIP Units or Common Units, therefore, cannot be resold unless registered under the Securites Act and applicable state securites laws, or unless an exempton from registraton is available, (D) there is no public market for such Sign-On LTIP Units and Common Units and (E) neither the Partnership nor the Company has any obligaton or intenton to register such Sign-On LTIP Units or the Common Units issuable upon conversion of the Sign-On LTIP Units under the Securites Act or any state securites laws or to take any acton that would make available any exempton from the registraton requirements of such laws, except, that, upon the redempton of the Common Units for REIT Shares, the Company may issue such REIT Shares from the Company’s authorized REIT Shares and pursuant to a Registraton Statement on Form S-8 under the Securites Act, to the extent that (I) the Grantee is eligible to receive such REIT Shares at the tme of such issuance, (II) the Company has fled a Form S-8 Registraton Statement with the Securites and Exchange Commission registering the issuance of such REIT Shares and (III) such Form S-8 is efectve at the tme of the issuance of such REIT Shares. The Grantee hereby acknowledges that because of the restrictons on transfer or assignment of such Sign-On LTIP Units acquired hereby and the Common Units issuable upon conversion of the Sign-On LTIP Units which are set forth in the Partnership Agreement or this Agreement, the Grantee may have to bear the economic risk of his ownership of the Sign-On LTIP Units acquired hereby and the Common Units issuable upon conversion of the Sign-On LTIP Units for an indefnite period of tme.</w:t>
      </w:r>
    </w:p>
    <w:p>
      <w:pPr>
        <w:spacing w:after="0" w:line="229" w:lineRule="exact"/>
        <w:rPr>
          <w:rFonts w:ascii="Calibri" w:cs="Calibri" w:eastAsia="Calibri" w:hAnsi="Calibri"/>
          <w:sz w:val="22"/>
          <w:szCs w:val="22"/>
          <w:color w:val="auto"/>
        </w:rPr>
      </w:pPr>
    </w:p>
    <w:p>
      <w:pPr>
        <w:ind w:left="1944" w:hanging="648"/>
        <w:spacing w:after="0"/>
        <w:tabs>
          <w:tab w:leader="none" w:pos="1944" w:val="left"/>
        </w:tabs>
        <w:numPr>
          <w:ilvl w:val="1"/>
          <w:numId w:val="108"/>
        </w:numPr>
        <w:rPr>
          <w:rFonts w:ascii="Calibri" w:cs="Calibri" w:eastAsia="Calibri" w:hAnsi="Calibri"/>
          <w:sz w:val="21"/>
          <w:szCs w:val="21"/>
          <w:color w:val="auto"/>
        </w:rPr>
      </w:pPr>
      <w:r>
        <w:rPr>
          <w:rFonts w:ascii="Calibri" w:cs="Calibri" w:eastAsia="Calibri" w:hAnsi="Calibri"/>
          <w:sz w:val="21"/>
          <w:szCs w:val="21"/>
          <w:color w:val="auto"/>
        </w:rPr>
        <w:t>The Grantee has determined that the Sign-On LTIP Units are a suitable investment for the Grantee.</w:t>
      </w:r>
    </w:p>
    <w:p>
      <w:pPr>
        <w:spacing w:after="0" w:line="200" w:lineRule="exact"/>
        <w:rPr>
          <w:sz w:val="20"/>
          <w:szCs w:val="20"/>
          <w:color w:val="auto"/>
        </w:rPr>
      </w:pPr>
    </w:p>
    <w:p>
      <w:pPr>
        <w:spacing w:after="0" w:line="303" w:lineRule="exact"/>
        <w:rPr>
          <w:sz w:val="20"/>
          <w:szCs w:val="20"/>
          <w:color w:val="auto"/>
        </w:rPr>
      </w:pPr>
    </w:p>
    <w:p>
      <w:pPr>
        <w:ind w:left="4824"/>
        <w:spacing w:after="0"/>
        <w:rPr>
          <w:sz w:val="20"/>
          <w:szCs w:val="20"/>
          <w:color w:val="auto"/>
        </w:rPr>
      </w:pPr>
      <w:r>
        <w:rPr>
          <w:rFonts w:ascii="Calibri" w:cs="Calibri" w:eastAsia="Calibri" w:hAnsi="Calibri"/>
          <w:sz w:val="22"/>
          <w:szCs w:val="22"/>
          <w:color w:val="auto"/>
        </w:rPr>
        <w:t>B-3</w:t>
      </w:r>
    </w:p>
    <w:p>
      <w:pPr>
        <w:sectPr>
          <w:pgSz w:w="11900" w:h="16838" w:orient="portrait"/>
          <w:cols w:equalWidth="0" w:num="1">
            <w:col w:w="10584"/>
          </w:cols>
          <w:pgMar w:left="976" w:top="1407" w:right="339" w:bottom="1440" w:gutter="0" w:footer="0" w:header="0"/>
        </w:sectPr>
      </w:pPr>
    </w:p>
    <w:bookmarkStart w:id="103" w:name="page104"/>
    <w:bookmarkEnd w:id="103"/>
    <w:p>
      <w:pPr>
        <w:jc w:val="both"/>
        <w:ind w:left="640" w:firstLine="1292"/>
        <w:spacing w:after="0" w:line="232" w:lineRule="auto"/>
        <w:tabs>
          <w:tab w:leader="none" w:pos="2574" w:val="left"/>
        </w:tabs>
        <w:numPr>
          <w:ilvl w:val="1"/>
          <w:numId w:val="109"/>
        </w:numPr>
        <w:rPr>
          <w:rFonts w:ascii="Calibri" w:cs="Calibri" w:eastAsia="Calibri" w:hAnsi="Calibri"/>
          <w:sz w:val="22"/>
          <w:szCs w:val="22"/>
          <w:color w:val="auto"/>
        </w:rPr>
      </w:pPr>
      <w:r>
        <w:rPr>
          <w:rFonts w:ascii="Calibri" w:cs="Calibri" w:eastAsia="Calibri" w:hAnsi="Calibri"/>
          <w:sz w:val="22"/>
          <w:szCs w:val="22"/>
          <w:color w:val="auto"/>
        </w:rPr>
        <w:t>No representatons or warrantes have been made to the Grantee by the Partnership or the Company, or any ofcer, director, stockholder, agent, or afliate of any of them, and the Grantee has received no informaton relatng to an investment in the Partnership or the Sign-On LTIP Units except the informaton specifed in paragraph (b) above.</w:t>
      </w:r>
    </w:p>
    <w:p>
      <w:pPr>
        <w:spacing w:after="0" w:line="244" w:lineRule="exact"/>
        <w:rPr>
          <w:rFonts w:ascii="Calibri" w:cs="Calibri" w:eastAsia="Calibri" w:hAnsi="Calibri"/>
          <w:sz w:val="22"/>
          <w:szCs w:val="22"/>
          <w:color w:val="auto"/>
        </w:rPr>
      </w:pPr>
    </w:p>
    <w:p>
      <w:pPr>
        <w:jc w:val="both"/>
        <w:ind w:left="-20" w:firstLine="1304"/>
        <w:spacing w:after="0" w:line="229" w:lineRule="auto"/>
        <w:tabs>
          <w:tab w:leader="none" w:pos="1932" w:val="left"/>
        </w:tabs>
        <w:numPr>
          <w:ilvl w:val="0"/>
          <w:numId w:val="110"/>
        </w:numPr>
        <w:rPr>
          <w:rFonts w:ascii="Cambria" w:cs="Cambria" w:eastAsia="Cambria" w:hAnsi="Cambria"/>
          <w:sz w:val="22"/>
          <w:szCs w:val="22"/>
          <w:b w:val="1"/>
          <w:bCs w:val="1"/>
          <w:color w:val="auto"/>
        </w:rPr>
      </w:pPr>
      <w:r>
        <w:rPr>
          <w:rFonts w:ascii="Calibri" w:cs="Calibri" w:eastAsia="Calibri" w:hAnsi="Calibri"/>
          <w:sz w:val="22"/>
          <w:szCs w:val="22"/>
          <w:color w:val="auto"/>
        </w:rPr>
        <w:t>So long as the Grantee holds any Sign-On LTIP Units, the Grantee shall disclose to the Partnership in writng such informaton as may be reasonably requested with respect to ownership of Sign-On LTIP Units as the Partnership may deem reasonably necessary to ascertain and to establish compliance with provisions of the Code, applicable to the Partnership or to comply with requirements of any other appropriate taxing authority.</w:t>
      </w:r>
    </w:p>
    <w:p>
      <w:pPr>
        <w:spacing w:after="0" w:line="257" w:lineRule="exact"/>
        <w:rPr>
          <w:rFonts w:ascii="Cambria" w:cs="Cambria" w:eastAsia="Cambria" w:hAnsi="Cambria"/>
          <w:sz w:val="22"/>
          <w:szCs w:val="22"/>
          <w:b w:val="1"/>
          <w:bCs w:val="1"/>
          <w:color w:val="auto"/>
        </w:rPr>
      </w:pPr>
    </w:p>
    <w:p>
      <w:pPr>
        <w:jc w:val="both"/>
        <w:ind w:left="-20" w:firstLine="1304"/>
        <w:spacing w:after="0" w:line="229" w:lineRule="auto"/>
        <w:tabs>
          <w:tab w:leader="none" w:pos="1932" w:val="left"/>
        </w:tabs>
        <w:numPr>
          <w:ilvl w:val="0"/>
          <w:numId w:val="110"/>
        </w:numPr>
        <w:rPr>
          <w:rFonts w:ascii="Cambria" w:cs="Cambria" w:eastAsia="Cambria" w:hAnsi="Cambria"/>
          <w:sz w:val="22"/>
          <w:szCs w:val="22"/>
          <w:b w:val="1"/>
          <w:bCs w:val="1"/>
          <w:color w:val="auto"/>
        </w:rPr>
      </w:pPr>
      <w:r>
        <w:rPr>
          <w:rFonts w:ascii="Calibri" w:cs="Calibri" w:eastAsia="Calibri" w:hAnsi="Calibri"/>
          <w:sz w:val="22"/>
          <w:szCs w:val="22"/>
          <w:color w:val="auto"/>
        </w:rPr>
        <w:t>The address set forth on the signature page of this Agreement is the address of the Grantee’s principal residence, and the Grantee has no present intenton of becoming a resident of any country, state or jurisdicton other than the country and state in which such residence is sited.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B-4</w:t>
      </w:r>
    </w:p>
    <w:p>
      <w:pPr>
        <w:sectPr>
          <w:pgSz w:w="11900" w:h="16838" w:orient="portrait"/>
          <w:cols w:equalWidth="0" w:num="1">
            <w:col w:w="11220"/>
          </w:cols>
          <w:pgMar w:left="340" w:top="1407" w:right="339" w:bottom="1440" w:gutter="0" w:footer="0" w:header="0"/>
        </w:sectPr>
      </w:pPr>
    </w:p>
    <w:bookmarkStart w:id="104" w:name="page105"/>
    <w:bookmarkEnd w:id="104"/>
    <w:p>
      <w:pPr>
        <w:jc w:val="center"/>
        <w:ind w:right="-19"/>
        <w:spacing w:after="0"/>
        <w:rPr>
          <w:sz w:val="20"/>
          <w:szCs w:val="20"/>
          <w:color w:val="auto"/>
        </w:rPr>
      </w:pPr>
      <w:r>
        <w:rPr>
          <w:rFonts w:ascii="Calibri" w:cs="Calibri" w:eastAsia="Calibri" w:hAnsi="Calibri"/>
          <w:sz w:val="22"/>
          <w:szCs w:val="22"/>
          <w:b w:val="1"/>
          <w:bCs w:val="1"/>
          <w:u w:val="single" w:color="auto"/>
          <w:color w:val="auto"/>
        </w:rPr>
        <w:t>EXHIBIT C</w:t>
      </w: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ELECTION TO INCLUDE IN GROSS INCOME IN YEAR OF</w:t>
      </w:r>
    </w:p>
    <w:p>
      <w:pPr>
        <w:jc w:val="center"/>
        <w:ind w:right="-19"/>
        <w:spacing w:after="0" w:line="229" w:lineRule="auto"/>
        <w:rPr>
          <w:sz w:val="20"/>
          <w:szCs w:val="20"/>
          <w:color w:val="auto"/>
        </w:rPr>
      </w:pPr>
      <w:r>
        <w:rPr>
          <w:rFonts w:ascii="Calibri" w:cs="Calibri" w:eastAsia="Calibri" w:hAnsi="Calibri"/>
          <w:sz w:val="22"/>
          <w:szCs w:val="22"/>
          <w:b w:val="1"/>
          <w:bCs w:val="1"/>
          <w:color w:val="auto"/>
        </w:rPr>
        <w:t>TRANSFER OF PROPERTY PURSUANT TO SECTION 83(b)</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OF THE INTERNAL REVENUE CODE</w:t>
      </w:r>
    </w:p>
    <w:p>
      <w:pPr>
        <w:spacing w:after="0" w:line="214"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The undersigned hereby makes an electon pursuant to Secton 83(b) of the Internal Revenue Code of 1986, as amended, Treasury Regulatons Secton 1.83-2 promulgated thereunder, and Rev. Proc. 2012-29, 2012-28 IRB, 06/26/2012, to include in gross income as compensaton for services the excess (if any) of the fair market value of the property described below over the amount paid for such property.</w:t>
      </w:r>
    </w:p>
    <w:p>
      <w:pPr>
        <w:spacing w:after="0" w:line="220" w:lineRule="exact"/>
        <w:rPr>
          <w:sz w:val="20"/>
          <w:szCs w:val="20"/>
          <w:color w:val="auto"/>
        </w:rPr>
      </w:pPr>
    </w:p>
    <w:p>
      <w:pPr>
        <w:ind w:left="640" w:hanging="632"/>
        <w:spacing w:after="0"/>
        <w:tabs>
          <w:tab w:leader="none" w:pos="640" w:val="left"/>
        </w:tabs>
        <w:numPr>
          <w:ilvl w:val="0"/>
          <w:numId w:val="111"/>
        </w:numPr>
        <w:rPr>
          <w:rFonts w:ascii="Calibri" w:cs="Calibri" w:eastAsia="Calibri" w:hAnsi="Calibri"/>
          <w:sz w:val="22"/>
          <w:szCs w:val="22"/>
          <w:color w:val="auto"/>
        </w:rPr>
      </w:pPr>
      <w:r>
        <w:rPr>
          <w:rFonts w:ascii="Calibri" w:cs="Calibri" w:eastAsia="Calibri" w:hAnsi="Calibri"/>
          <w:sz w:val="22"/>
          <w:szCs w:val="22"/>
          <w:color w:val="auto"/>
        </w:rPr>
        <w:t>The name, address and taxpayer identfcaton number of the undersigned are:</w:t>
      </w:r>
    </w:p>
    <w:p>
      <w:pPr>
        <w:spacing w:after="0" w:line="163" w:lineRule="exact"/>
        <w:rPr>
          <w:sz w:val="20"/>
          <w:szCs w:val="20"/>
          <w:color w:val="auto"/>
        </w:rPr>
      </w:pPr>
    </w:p>
    <w:tbl>
      <w:tblPr>
        <w:tblLayout w:type="fixed"/>
        <w:tblInd w:w="1300" w:type="dxa"/>
        <w:tblCellMar>
          <w:top w:w="0" w:type="dxa"/>
          <w:left w:w="0" w:type="dxa"/>
          <w:bottom w:w="0" w:type="dxa"/>
          <w:right w:w="0" w:type="dxa"/>
        </w:tblCellMar>
      </w:tblPr>
      <w:tr>
        <w:trPr>
          <w:trHeight w:val="269"/>
        </w:trPr>
        <w:tc>
          <w:tcPr>
            <w:tcW w:w="780" w:type="dxa"/>
            <w:vAlign w:val="bottom"/>
          </w:tcPr>
          <w:p>
            <w:pPr>
              <w:spacing w:after="0"/>
              <w:rPr>
                <w:sz w:val="20"/>
                <w:szCs w:val="20"/>
                <w:color w:val="auto"/>
              </w:rPr>
            </w:pPr>
            <w:r>
              <w:rPr>
                <w:rFonts w:ascii="Calibri" w:cs="Calibri" w:eastAsia="Calibri" w:hAnsi="Calibri"/>
                <w:sz w:val="22"/>
                <w:szCs w:val="22"/>
                <w:color w:val="auto"/>
              </w:rPr>
              <w:t>Name:</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gridSpan w:val="4"/>
          </w:tcPr>
          <w:p>
            <w:pPr>
              <w:ind w:left="40"/>
              <w:spacing w:after="0"/>
              <w:rPr>
                <w:sz w:val="20"/>
                <w:szCs w:val="20"/>
                <w:color w:val="auto"/>
              </w:rPr>
            </w:pPr>
            <w:r>
              <w:rPr>
                <w:rFonts w:ascii="Calibri" w:cs="Calibri" w:eastAsia="Calibri" w:hAnsi="Calibri"/>
                <w:sz w:val="22"/>
                <w:szCs w:val="22"/>
                <w:color w:val="auto"/>
                <w:w w:val="95"/>
              </w:rPr>
              <w:t>(the “Taxpayer”)</w:t>
            </w:r>
          </w:p>
        </w:tc>
      </w:tr>
      <w:tr>
        <w:trPr>
          <w:trHeight w:val="398"/>
        </w:trPr>
        <w:tc>
          <w:tcPr>
            <w:tcW w:w="780" w:type="dxa"/>
            <w:vAlign w:val="bottom"/>
          </w:tcPr>
          <w:p>
            <w:pPr>
              <w:spacing w:after="0"/>
              <w:rPr>
                <w:sz w:val="20"/>
                <w:szCs w:val="20"/>
                <w:color w:val="auto"/>
              </w:rPr>
            </w:pPr>
            <w:r>
              <w:rPr>
                <w:rFonts w:ascii="Calibri" w:cs="Calibri" w:eastAsia="Calibri" w:hAnsi="Calibri"/>
                <w:sz w:val="22"/>
                <w:szCs w:val="22"/>
                <w:color w:val="auto"/>
                <w:w w:val="97"/>
              </w:rPr>
              <w:t>Address:</w:t>
            </w: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257175</wp:posOffset>
            </wp:positionV>
            <wp:extent cx="1238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300"/>
        <w:spacing w:after="0"/>
        <w:rPr>
          <w:sz w:val="20"/>
          <w:szCs w:val="20"/>
          <w:color w:val="auto"/>
        </w:rPr>
      </w:pPr>
      <w:r>
        <w:rPr>
          <w:rFonts w:ascii="Calibri" w:cs="Calibri" w:eastAsia="Calibri" w:hAnsi="Calibri"/>
          <w:sz w:val="22"/>
          <w:szCs w:val="22"/>
          <w:color w:val="auto"/>
        </w:rPr>
        <w:t>Social Security No./Taxpayer Identfcaton No.: _____________</w:t>
      </w:r>
    </w:p>
    <w:p>
      <w:pPr>
        <w:spacing w:after="0" w:line="152" w:lineRule="exact"/>
        <w:rPr>
          <w:sz w:val="20"/>
          <w:szCs w:val="20"/>
          <w:color w:val="auto"/>
        </w:rPr>
      </w:pPr>
    </w:p>
    <w:p>
      <w:pPr>
        <w:ind w:left="1300"/>
        <w:spacing w:after="0"/>
        <w:rPr>
          <w:sz w:val="20"/>
          <w:szCs w:val="20"/>
          <w:color w:val="auto"/>
        </w:rPr>
      </w:pPr>
      <w:r>
        <w:rPr>
          <w:rFonts w:ascii="Calibri" w:cs="Calibri" w:eastAsia="Calibri" w:hAnsi="Calibri"/>
          <w:sz w:val="22"/>
          <w:szCs w:val="22"/>
          <w:color w:val="auto"/>
        </w:rPr>
        <w:t>Taxable Year: Calendar Year 2024</w:t>
      </w:r>
    </w:p>
    <w:p>
      <w:pPr>
        <w:spacing w:after="0" w:line="163" w:lineRule="exact"/>
        <w:rPr>
          <w:sz w:val="20"/>
          <w:szCs w:val="20"/>
          <w:color w:val="auto"/>
        </w:rPr>
      </w:pPr>
    </w:p>
    <w:p>
      <w:pPr>
        <w:ind w:left="640" w:hanging="632"/>
        <w:spacing w:after="0"/>
        <w:tabs>
          <w:tab w:leader="none" w:pos="640" w:val="left"/>
        </w:tabs>
        <w:numPr>
          <w:ilvl w:val="0"/>
          <w:numId w:val="112"/>
        </w:numPr>
        <w:rPr>
          <w:rFonts w:ascii="Calibri" w:cs="Calibri" w:eastAsia="Calibri" w:hAnsi="Calibri"/>
          <w:sz w:val="22"/>
          <w:szCs w:val="22"/>
          <w:color w:val="auto"/>
        </w:rPr>
      </w:pPr>
      <w:r>
        <w:rPr>
          <w:rFonts w:ascii="Calibri" w:cs="Calibri" w:eastAsia="Calibri" w:hAnsi="Calibri"/>
          <w:sz w:val="22"/>
          <w:szCs w:val="22"/>
          <w:color w:val="auto"/>
        </w:rPr>
        <w:t>Descripton of property with respect to which the electon is being made:</w:t>
      </w:r>
    </w:p>
    <w:p>
      <w:pPr>
        <w:spacing w:after="0" w:line="214" w:lineRule="exact"/>
        <w:rPr>
          <w:sz w:val="20"/>
          <w:szCs w:val="20"/>
          <w:color w:val="auto"/>
        </w:rPr>
      </w:pPr>
    </w:p>
    <w:p>
      <w:pPr>
        <w:ind w:left="1300"/>
        <w:spacing w:after="0"/>
        <w:rPr>
          <w:sz w:val="20"/>
          <w:szCs w:val="20"/>
          <w:color w:val="auto"/>
        </w:rPr>
      </w:pPr>
      <w:r>
        <w:rPr>
          <w:rFonts w:ascii="Calibri" w:cs="Calibri" w:eastAsia="Calibri" w:hAnsi="Calibri"/>
          <w:sz w:val="21"/>
          <w:szCs w:val="21"/>
          <w:color w:val="auto"/>
        </w:rPr>
        <w:t>The electon is being made with respect to __________ Sign-On LTIP Units in The Macerich Partnership, L.P. (the</w:t>
      </w:r>
    </w:p>
    <w:p>
      <w:pPr>
        <w:ind w:left="1300"/>
        <w:spacing w:after="0" w:line="228"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Partnership</w:t>
      </w:r>
      <w:r>
        <w:rPr>
          <w:rFonts w:ascii="Calibri" w:cs="Calibri" w:eastAsia="Calibri" w:hAnsi="Calibri"/>
          <w:sz w:val="22"/>
          <w:szCs w:val="22"/>
          <w:color w:val="auto"/>
        </w:rPr>
        <w:t>”).</w:t>
      </w:r>
    </w:p>
    <w:p>
      <w:pPr>
        <w:spacing w:after="0" w:line="153" w:lineRule="exact"/>
        <w:rPr>
          <w:sz w:val="20"/>
          <w:szCs w:val="20"/>
          <w:color w:val="auto"/>
        </w:rPr>
      </w:pPr>
    </w:p>
    <w:p>
      <w:pPr>
        <w:ind w:left="640" w:hanging="632"/>
        <w:spacing w:after="0"/>
        <w:tabs>
          <w:tab w:leader="none" w:pos="640" w:val="left"/>
        </w:tabs>
        <w:numPr>
          <w:ilvl w:val="0"/>
          <w:numId w:val="113"/>
        </w:numPr>
        <w:rPr>
          <w:rFonts w:ascii="Calibri" w:cs="Calibri" w:eastAsia="Calibri" w:hAnsi="Calibri"/>
          <w:sz w:val="22"/>
          <w:szCs w:val="22"/>
          <w:color w:val="auto"/>
        </w:rPr>
      </w:pPr>
      <w:r>
        <w:rPr>
          <w:rFonts w:ascii="Calibri" w:cs="Calibri" w:eastAsia="Calibri" w:hAnsi="Calibri"/>
          <w:sz w:val="22"/>
          <w:szCs w:val="22"/>
          <w:color w:val="auto"/>
        </w:rPr>
        <w:t>The date on which the Sign-On LTIP Units were transferred to the undersigned is March 1, 2024.</w:t>
      </w:r>
    </w:p>
    <w:p>
      <w:pPr>
        <w:spacing w:after="0" w:line="203" w:lineRule="exact"/>
        <w:rPr>
          <w:rFonts w:ascii="Calibri" w:cs="Calibri" w:eastAsia="Calibri" w:hAnsi="Calibri"/>
          <w:sz w:val="22"/>
          <w:szCs w:val="22"/>
          <w:color w:val="auto"/>
        </w:rPr>
      </w:pPr>
    </w:p>
    <w:p>
      <w:pPr>
        <w:ind w:left="640" w:hanging="632"/>
        <w:spacing w:after="0"/>
        <w:tabs>
          <w:tab w:leader="none" w:pos="640" w:val="left"/>
        </w:tabs>
        <w:numPr>
          <w:ilvl w:val="0"/>
          <w:numId w:val="113"/>
        </w:numPr>
        <w:rPr>
          <w:rFonts w:ascii="Calibri" w:cs="Calibri" w:eastAsia="Calibri" w:hAnsi="Calibri"/>
          <w:sz w:val="22"/>
          <w:szCs w:val="22"/>
          <w:color w:val="auto"/>
        </w:rPr>
      </w:pPr>
      <w:r>
        <w:rPr>
          <w:rFonts w:ascii="Calibri" w:cs="Calibri" w:eastAsia="Calibri" w:hAnsi="Calibri"/>
          <w:sz w:val="22"/>
          <w:szCs w:val="22"/>
          <w:color w:val="auto"/>
        </w:rPr>
        <w:t>Nature of restrictons to which the Sign-On LTIP Units are subject:</w:t>
      </w:r>
    </w:p>
    <w:p>
      <w:pPr>
        <w:spacing w:after="0" w:line="227" w:lineRule="exact"/>
        <w:rPr>
          <w:rFonts w:ascii="Calibri" w:cs="Calibri" w:eastAsia="Calibri" w:hAnsi="Calibri"/>
          <w:sz w:val="22"/>
          <w:szCs w:val="22"/>
          <w:color w:val="auto"/>
        </w:rPr>
      </w:pPr>
    </w:p>
    <w:p>
      <w:pPr>
        <w:ind w:left="1960" w:right="20" w:hanging="656"/>
        <w:spacing w:after="0" w:line="229" w:lineRule="auto"/>
        <w:tabs>
          <w:tab w:leader="none" w:pos="1796" w:val="left"/>
        </w:tabs>
        <w:numPr>
          <w:ilvl w:val="1"/>
          <w:numId w:val="113"/>
        </w:numPr>
        <w:rPr>
          <w:rFonts w:ascii="Calibri" w:cs="Calibri" w:eastAsia="Calibri" w:hAnsi="Calibri"/>
          <w:sz w:val="22"/>
          <w:szCs w:val="22"/>
          <w:color w:val="auto"/>
        </w:rPr>
      </w:pPr>
      <w:r>
        <w:rPr>
          <w:rFonts w:ascii="Calibri" w:cs="Calibri" w:eastAsia="Calibri" w:hAnsi="Calibri"/>
          <w:sz w:val="22"/>
          <w:szCs w:val="22"/>
          <w:color w:val="auto"/>
        </w:rPr>
        <w:t>Untl the Sign-On LTIP Units vest, the Taxpayer may not transfer in any manner any porton of the Sign-On LTIP Units without the consent of the Partnership.</w:t>
      </w:r>
    </w:p>
    <w:p>
      <w:pPr>
        <w:spacing w:after="0" w:line="216" w:lineRule="exact"/>
        <w:rPr>
          <w:rFonts w:ascii="Calibri" w:cs="Calibri" w:eastAsia="Calibri" w:hAnsi="Calibri"/>
          <w:sz w:val="22"/>
          <w:szCs w:val="22"/>
          <w:color w:val="auto"/>
        </w:rPr>
      </w:pPr>
    </w:p>
    <w:p>
      <w:pPr>
        <w:ind w:left="1960" w:hanging="656"/>
        <w:spacing w:after="0" w:line="229" w:lineRule="auto"/>
        <w:tabs>
          <w:tab w:leader="none" w:pos="1794" w:val="left"/>
        </w:tabs>
        <w:numPr>
          <w:ilvl w:val="1"/>
          <w:numId w:val="113"/>
        </w:numPr>
        <w:rPr>
          <w:rFonts w:ascii="Calibri" w:cs="Calibri" w:eastAsia="Calibri" w:hAnsi="Calibri"/>
          <w:sz w:val="22"/>
          <w:szCs w:val="22"/>
          <w:color w:val="auto"/>
        </w:rPr>
      </w:pPr>
      <w:r>
        <w:rPr>
          <w:rFonts w:ascii="Calibri" w:cs="Calibri" w:eastAsia="Calibri" w:hAnsi="Calibri"/>
          <w:sz w:val="22"/>
          <w:szCs w:val="22"/>
          <w:color w:val="auto"/>
        </w:rPr>
        <w:t>The Taxpayer’s Sign-On LTIP Units vest in accordance with the vestng provisions described in the Schedule atached hereto. Unvested Sign-On LTIP Units are forfeited in accordance with the vestng provisions described in the Schedule atached hereto.</w:t>
      </w:r>
    </w:p>
    <w:p>
      <w:pPr>
        <w:spacing w:after="0" w:line="230" w:lineRule="exact"/>
        <w:rPr>
          <w:rFonts w:ascii="Calibri" w:cs="Calibri" w:eastAsia="Calibri" w:hAnsi="Calibri"/>
          <w:sz w:val="22"/>
          <w:szCs w:val="22"/>
          <w:color w:val="auto"/>
        </w:rPr>
      </w:pPr>
    </w:p>
    <w:p>
      <w:pPr>
        <w:jc w:val="both"/>
        <w:ind w:firstLine="8"/>
        <w:spacing w:after="0" w:line="229" w:lineRule="auto"/>
        <w:tabs>
          <w:tab w:leader="none" w:pos="636" w:val="left"/>
        </w:tabs>
        <w:numPr>
          <w:ilvl w:val="0"/>
          <w:numId w:val="113"/>
        </w:numPr>
        <w:rPr>
          <w:rFonts w:ascii="Calibri" w:cs="Calibri" w:eastAsia="Calibri" w:hAnsi="Calibri"/>
          <w:sz w:val="22"/>
          <w:szCs w:val="22"/>
          <w:color w:val="auto"/>
        </w:rPr>
      </w:pPr>
      <w:r>
        <w:rPr>
          <w:rFonts w:ascii="Calibri" w:cs="Calibri" w:eastAsia="Calibri" w:hAnsi="Calibri"/>
          <w:sz w:val="22"/>
          <w:szCs w:val="22"/>
          <w:color w:val="auto"/>
        </w:rPr>
        <w:t>The fair market value at tme of transfer (determined without regard to any restrictons other than a nonlapse restricton as defned in Treasury Regulatons Secton 1.83-3(h)) of the Sign-On LTIP Units with respect to which this electon is being made was $0 per Sign-On LTIP Unit.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C-1</w:t>
      </w:r>
    </w:p>
    <w:p>
      <w:pPr>
        <w:sectPr>
          <w:pgSz w:w="11900" w:h="16838" w:orient="portrait"/>
          <w:cols w:equalWidth="0" w:num="1">
            <w:col w:w="11240"/>
          </w:cols>
          <w:pgMar w:left="320" w:top="1396" w:right="339" w:bottom="1440" w:gutter="0" w:footer="0" w:header="0"/>
        </w:sectPr>
      </w:pPr>
    </w:p>
    <w:bookmarkStart w:id="105" w:name="page106"/>
    <w:bookmarkEnd w:id="105"/>
    <w:p>
      <w:pPr>
        <w:ind w:left="640" w:hanging="632"/>
        <w:spacing w:after="0"/>
        <w:tabs>
          <w:tab w:leader="none" w:pos="640" w:val="left"/>
        </w:tabs>
        <w:numPr>
          <w:ilvl w:val="0"/>
          <w:numId w:val="114"/>
        </w:numPr>
        <w:rPr>
          <w:rFonts w:ascii="Calibri" w:cs="Calibri" w:eastAsia="Calibri" w:hAnsi="Calibri"/>
          <w:sz w:val="22"/>
          <w:szCs w:val="22"/>
          <w:color w:val="auto"/>
        </w:rPr>
      </w:pPr>
      <w:r>
        <w:rPr>
          <w:rFonts w:ascii="Calibri" w:cs="Calibri" w:eastAsia="Calibri" w:hAnsi="Calibri"/>
          <w:sz w:val="22"/>
          <w:szCs w:val="22"/>
          <w:color w:val="auto"/>
        </w:rPr>
        <w:t>The amount paid by the Taxpayer for the Sign-On LTIP Units was $0 per Sign-On LTIP Unit.</w:t>
      </w:r>
    </w:p>
    <w:p>
      <w:pPr>
        <w:spacing w:after="0" w:line="203" w:lineRule="exact"/>
        <w:rPr>
          <w:rFonts w:ascii="Calibri" w:cs="Calibri" w:eastAsia="Calibri" w:hAnsi="Calibri"/>
          <w:sz w:val="22"/>
          <w:szCs w:val="22"/>
          <w:color w:val="auto"/>
        </w:rPr>
      </w:pPr>
    </w:p>
    <w:p>
      <w:pPr>
        <w:ind w:left="640" w:hanging="632"/>
        <w:spacing w:after="0"/>
        <w:tabs>
          <w:tab w:leader="none" w:pos="640" w:val="left"/>
        </w:tabs>
        <w:numPr>
          <w:ilvl w:val="0"/>
          <w:numId w:val="114"/>
        </w:numPr>
        <w:rPr>
          <w:rFonts w:ascii="Calibri" w:cs="Calibri" w:eastAsia="Calibri" w:hAnsi="Calibri"/>
          <w:sz w:val="22"/>
          <w:szCs w:val="22"/>
          <w:color w:val="auto"/>
        </w:rPr>
      </w:pPr>
      <w:r>
        <w:rPr>
          <w:rFonts w:ascii="Calibri" w:cs="Calibri" w:eastAsia="Calibri" w:hAnsi="Calibri"/>
          <w:sz w:val="22"/>
          <w:szCs w:val="22"/>
          <w:color w:val="auto"/>
        </w:rPr>
        <w:t>The amount to include in gross income is $0.</w:t>
      </w:r>
    </w:p>
    <w:p>
      <w:pPr>
        <w:spacing w:after="0" w:line="215"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The undersigned taxpayer will fle this electon with the Internal Revenue Service ofce with which taxpayer fles his or her annual income tax return not later than 30 days afer the date of transfer of the property. A copy of the electon also will be furnished to the person for whom the services were performed. The undersigned is the person performing the services in connecton with which the property was transferred.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-25400</wp:posOffset>
            </wp:positionV>
            <wp:extent cx="123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240030</wp:posOffset>
            </wp:positionV>
            <wp:extent cx="1238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C-2</w:t>
      </w:r>
    </w:p>
    <w:p>
      <w:pPr>
        <w:sectPr>
          <w:pgSz w:w="11900" w:h="16838" w:orient="portrait"/>
          <w:cols w:equalWidth="0" w:num="1">
            <w:col w:w="11240"/>
          </w:cols>
          <w:pgMar w:left="320" w:top="1396" w:right="339" w:bottom="1440" w:gutter="0" w:footer="0" w:header="0"/>
        </w:sectPr>
      </w:pPr>
    </w:p>
    <w:bookmarkStart w:id="106" w:name="page107"/>
    <w:bookmarkEnd w:id="106"/>
    <w:p>
      <w:pPr>
        <w:jc w:val="center"/>
        <w:ind w:right="-19"/>
        <w:spacing w:after="0"/>
        <w:rPr>
          <w:sz w:val="20"/>
          <w:szCs w:val="20"/>
          <w:color w:val="auto"/>
        </w:rPr>
      </w:pPr>
      <w:r>
        <w:rPr>
          <w:rFonts w:ascii="Calibri" w:cs="Calibri" w:eastAsia="Calibri" w:hAnsi="Calibri"/>
          <w:sz w:val="22"/>
          <w:szCs w:val="22"/>
          <w:b w:val="1"/>
          <w:bCs w:val="1"/>
          <w:u w:val="single" w:color="auto"/>
          <w:color w:val="auto"/>
        </w:rPr>
        <w:t>SCHEDULE TO 83(b) ELECTION</w:t>
      </w: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Vestng Provisions of Sign-On LTIP Units</w:t>
      </w:r>
    </w:p>
    <w:p>
      <w:pPr>
        <w:spacing w:after="0" w:line="215" w:lineRule="exact"/>
        <w:rPr>
          <w:sz w:val="20"/>
          <w:szCs w:val="20"/>
          <w:color w:val="auto"/>
        </w:rPr>
      </w:pPr>
    </w:p>
    <w:p>
      <w:pPr>
        <w:jc w:val="both"/>
        <w:ind w:firstLine="648"/>
        <w:spacing w:after="0" w:line="232" w:lineRule="auto"/>
        <w:rPr>
          <w:sz w:val="20"/>
          <w:szCs w:val="20"/>
          <w:color w:val="auto"/>
        </w:rPr>
      </w:pPr>
      <w:r>
        <w:rPr>
          <w:rFonts w:ascii="Calibri" w:cs="Calibri" w:eastAsia="Calibri" w:hAnsi="Calibri"/>
          <w:sz w:val="22"/>
          <w:szCs w:val="22"/>
          <w:color w:val="auto"/>
        </w:rPr>
        <w:t>LTIP Units are subject to service-based vestng with 50% of such units vestng on March 1, 2027, and 25% of such units vestng on each of March 1, 2028, and March 1, 2029. The above vestng is conditoned upon the Taxpayer’s contnuous employment or service with The Macerich Company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or a subsidiary or afliate thereof, through the applicable vestng dates, and subject to acceleraton or contnued vestng in the event of a change of control of the Company or terminaton of the Taxpayer’s service relatonship with the Company under specifed circumstances. Unvested LTIP Units are subject to forfeiture in the event of failure to vest based on the passage of tme and contnued service with the Company, or a subsidiary or afliate thereof.</w:t>
      </w:r>
    </w:p>
    <w:p>
      <w:pPr>
        <w:sectPr>
          <w:pgSz w:w="11900" w:h="16838" w:orient="portrait"/>
          <w:cols w:equalWidth="0" w:num="1">
            <w:col w:w="11240"/>
          </w:cols>
          <w:pgMar w:left="320" w:top="1396" w:right="339" w:bottom="1440" w:gutter="0" w:footer="0" w:header="0"/>
        </w:sectPr>
      </w:pPr>
    </w:p>
    <w:bookmarkStart w:id="107" w:name="page108"/>
    <w:bookmarkEnd w:id="107"/>
    <w:p>
      <w:pPr>
        <w:jc w:val="center"/>
        <w:ind w:right="20"/>
        <w:spacing w:after="0"/>
        <w:rPr>
          <w:sz w:val="20"/>
          <w:szCs w:val="20"/>
          <w:color w:val="auto"/>
        </w:rPr>
      </w:pPr>
      <w:r>
        <w:rPr>
          <w:rFonts w:ascii="Calibri" w:cs="Calibri" w:eastAsia="Calibri" w:hAnsi="Calibri"/>
          <w:sz w:val="22"/>
          <w:szCs w:val="22"/>
          <w:b w:val="1"/>
          <w:bCs w:val="1"/>
          <w:color w:val="auto"/>
        </w:rPr>
        <w:t>SCHEDULE A TO SIGN-ON INDUCEMENT UNIT AWARD AGREEMENT</w:t>
      </w:r>
    </w:p>
    <w:p>
      <w:pPr>
        <w:jc w:val="center"/>
        <w:ind w:right="20"/>
        <w:spacing w:after="0" w:line="229" w:lineRule="auto"/>
        <w:rPr>
          <w:sz w:val="20"/>
          <w:szCs w:val="20"/>
          <w:color w:val="auto"/>
        </w:rPr>
      </w:pPr>
      <w:r>
        <w:rPr>
          <w:rFonts w:ascii="Calibri" w:cs="Calibri" w:eastAsia="Calibri" w:hAnsi="Calibri"/>
          <w:sz w:val="22"/>
          <w:szCs w:val="22"/>
          <w:b w:val="1"/>
          <w:bCs w:val="1"/>
          <w:color w:val="auto"/>
        </w:rPr>
        <w:t>(Service-Based)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620" w:type="dxa"/>
            <w:vAlign w:val="bottom"/>
            <w:tcBorders>
              <w:top w:val="single" w:sz="8" w:color="auto"/>
              <w:left w:val="single" w:sz="8" w:color="auto"/>
              <w:bottom w:val="single" w:sz="8" w:color="auto"/>
            </w:tcBorders>
            <w:gridSpan w:val="4"/>
          </w:tcPr>
          <w:p>
            <w:pPr>
              <w:ind w:left="40"/>
              <w:spacing w:after="0"/>
              <w:rPr>
                <w:sz w:val="20"/>
                <w:szCs w:val="20"/>
                <w:color w:val="auto"/>
              </w:rPr>
            </w:pPr>
            <w:r>
              <w:rPr>
                <w:rFonts w:ascii="Calibri" w:cs="Calibri" w:eastAsia="Calibri" w:hAnsi="Calibri"/>
                <w:sz w:val="22"/>
                <w:szCs w:val="22"/>
                <w:color w:val="auto"/>
              </w:rPr>
              <w:t>Date of Award Agreement:</w:t>
            </w:r>
          </w:p>
        </w:tc>
        <w:tc>
          <w:tcPr>
            <w:tcW w:w="2760" w:type="dxa"/>
            <w:vAlign w:val="bottom"/>
            <w:tcBorders>
              <w:top w:val="single" w:sz="8" w:color="auto"/>
              <w:bottom w:val="single" w:sz="8" w:color="auto"/>
              <w:right w:val="single" w:sz="8" w:color="auto"/>
            </w:tcBorders>
          </w:tcPr>
          <w:p>
            <w:pPr>
              <w:spacing w:after="0"/>
              <w:rPr>
                <w:sz w:val="24"/>
                <w:szCs w:val="24"/>
                <w:color w:val="auto"/>
              </w:rPr>
            </w:pPr>
          </w:p>
        </w:tc>
        <w:tc>
          <w:tcPr>
            <w:tcW w:w="2200" w:type="dxa"/>
            <w:vAlign w:val="bottom"/>
            <w:tcBorders>
              <w:top w:val="single" w:sz="8" w:color="auto"/>
              <w:bottom w:val="single" w:sz="8" w:color="auto"/>
            </w:tcBorders>
            <w:gridSpan w:val="2"/>
          </w:tcPr>
          <w:p>
            <w:pPr>
              <w:spacing w:after="0"/>
              <w:rPr>
                <w:sz w:val="20"/>
                <w:szCs w:val="20"/>
                <w:color w:val="auto"/>
              </w:rPr>
            </w:pPr>
            <w:r>
              <w:rPr>
                <w:rFonts w:ascii="Calibri" w:cs="Calibri" w:eastAsia="Calibri" w:hAnsi="Calibri"/>
                <w:sz w:val="22"/>
                <w:szCs w:val="22"/>
                <w:color w:val="auto"/>
              </w:rPr>
              <w:t>March 1, 2024</w:t>
            </w:r>
          </w:p>
        </w:tc>
        <w:tc>
          <w:tcPr>
            <w:tcW w:w="16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20" w:type="dxa"/>
            <w:vAlign w:val="bottom"/>
            <w:tcBorders>
              <w:left w:val="single" w:sz="8" w:color="auto"/>
              <w:bottom w:val="single" w:sz="8" w:color="auto"/>
            </w:tcBorders>
            <w:gridSpan w:val="4"/>
          </w:tcPr>
          <w:p>
            <w:pPr>
              <w:ind w:left="40"/>
              <w:spacing w:after="0" w:line="256" w:lineRule="exact"/>
              <w:rPr>
                <w:sz w:val="20"/>
                <w:szCs w:val="20"/>
                <w:color w:val="auto"/>
              </w:rPr>
            </w:pPr>
            <w:r>
              <w:rPr>
                <w:rFonts w:ascii="Calibri" w:cs="Calibri" w:eastAsia="Calibri" w:hAnsi="Calibri"/>
                <w:sz w:val="22"/>
                <w:szCs w:val="22"/>
                <w:color w:val="auto"/>
              </w:rPr>
              <w:t>Name of Grantee:</w:t>
            </w:r>
          </w:p>
        </w:tc>
        <w:tc>
          <w:tcPr>
            <w:tcW w:w="27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tcBorders>
            <w:gridSpan w:val="2"/>
          </w:tcPr>
          <w:p>
            <w:pPr>
              <w:spacing w:after="0" w:line="256" w:lineRule="exact"/>
              <w:rPr>
                <w:sz w:val="20"/>
                <w:szCs w:val="20"/>
                <w:color w:val="auto"/>
              </w:rPr>
            </w:pPr>
            <w:r>
              <w:rPr>
                <w:rFonts w:ascii="Calibri" w:cs="Calibri" w:eastAsia="Calibri" w:hAnsi="Calibri"/>
                <w:sz w:val="22"/>
                <w:szCs w:val="22"/>
                <w:color w:val="auto"/>
              </w:rPr>
              <w:t>Jackson Hsieh</w:t>
            </w:r>
          </w:p>
        </w:tc>
        <w:tc>
          <w:tcPr>
            <w:tcW w:w="162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left w:val="single" w:sz="8" w:color="auto"/>
              <w:bottom w:val="single" w:sz="8" w:color="auto"/>
            </w:tcBorders>
          </w:tcPr>
          <w:p>
            <w:pPr>
              <w:spacing w:after="0"/>
              <w:rPr>
                <w:sz w:val="22"/>
                <w:szCs w:val="22"/>
                <w:color w:val="auto"/>
              </w:rPr>
            </w:pPr>
          </w:p>
        </w:tc>
        <w:tc>
          <w:tcPr>
            <w:tcW w:w="6340" w:type="dxa"/>
            <w:vAlign w:val="bottom"/>
            <w:tcBorders>
              <w:bottom w:val="single" w:sz="8" w:color="auto"/>
              <w:right w:val="single" w:sz="8" w:color="auto"/>
            </w:tcBorders>
            <w:gridSpan w:val="4"/>
          </w:tcPr>
          <w:p>
            <w:pPr>
              <w:jc w:val="right"/>
              <w:ind w:right="2072"/>
              <w:spacing w:after="0" w:line="258" w:lineRule="exact"/>
              <w:rPr>
                <w:sz w:val="20"/>
                <w:szCs w:val="20"/>
                <w:color w:val="auto"/>
              </w:rPr>
            </w:pPr>
            <w:r>
              <w:rPr>
                <w:rFonts w:ascii="Calibri" w:cs="Calibri" w:eastAsia="Calibri" w:hAnsi="Calibri"/>
                <w:sz w:val="22"/>
                <w:szCs w:val="22"/>
                <w:color w:val="auto"/>
                <w:w w:val="98"/>
              </w:rPr>
              <w:t>Number of Sign-On LTIP Units Subject to Grant:</w:t>
            </w:r>
          </w:p>
        </w:tc>
        <w:tc>
          <w:tcPr>
            <w:tcW w:w="1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20" w:type="dxa"/>
            <w:vAlign w:val="bottom"/>
            <w:tcBorders>
              <w:left w:val="single" w:sz="8" w:color="auto"/>
              <w:bottom w:val="single" w:sz="8" w:color="auto"/>
            </w:tcBorders>
            <w:gridSpan w:val="4"/>
          </w:tcPr>
          <w:p>
            <w:pPr>
              <w:ind w:left="40"/>
              <w:spacing w:after="0" w:line="258" w:lineRule="exact"/>
              <w:rPr>
                <w:sz w:val="20"/>
                <w:szCs w:val="20"/>
                <w:color w:val="auto"/>
              </w:rPr>
            </w:pPr>
            <w:r>
              <w:rPr>
                <w:rFonts w:ascii="Calibri" w:cs="Calibri" w:eastAsia="Calibri" w:hAnsi="Calibri"/>
                <w:sz w:val="22"/>
                <w:szCs w:val="22"/>
                <w:color w:val="auto"/>
              </w:rPr>
              <w:t>Grant Date:</w:t>
            </w:r>
          </w:p>
        </w:tc>
        <w:tc>
          <w:tcPr>
            <w:tcW w:w="27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tcBorders>
            <w:gridSpan w:val="2"/>
          </w:tcPr>
          <w:p>
            <w:pPr>
              <w:spacing w:after="0" w:line="258" w:lineRule="exact"/>
              <w:rPr>
                <w:sz w:val="20"/>
                <w:szCs w:val="20"/>
                <w:color w:val="auto"/>
              </w:rPr>
            </w:pPr>
            <w:r>
              <w:rPr>
                <w:rFonts w:ascii="Calibri" w:cs="Calibri" w:eastAsia="Calibri" w:hAnsi="Calibri"/>
                <w:sz w:val="22"/>
                <w:szCs w:val="22"/>
                <w:color w:val="auto"/>
              </w:rPr>
              <w:t>March 1, 2024</w:t>
            </w:r>
          </w:p>
        </w:tc>
        <w:tc>
          <w:tcPr>
            <w:tcW w:w="162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26"/>
        </w:trPr>
        <w:tc>
          <w:tcPr>
            <w:tcW w:w="3620" w:type="dxa"/>
            <w:vAlign w:val="bottom"/>
            <w:gridSpan w:val="4"/>
          </w:tcPr>
          <w:p>
            <w:pPr>
              <w:spacing w:after="0"/>
              <w:rPr>
                <w:sz w:val="20"/>
                <w:szCs w:val="20"/>
                <w:color w:val="auto"/>
              </w:rPr>
            </w:pPr>
            <w:r>
              <w:rPr>
                <w:rFonts w:ascii="Calibri" w:cs="Calibri" w:eastAsia="Calibri" w:hAnsi="Calibri"/>
                <w:sz w:val="22"/>
                <w:szCs w:val="22"/>
                <w:color w:val="auto"/>
              </w:rPr>
              <w:t>Vestng Schedule:</w:t>
            </w:r>
          </w:p>
        </w:tc>
        <w:tc>
          <w:tcPr>
            <w:tcW w:w="2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8"/>
        </w:trPr>
        <w:tc>
          <w:tcPr>
            <w:tcW w:w="4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200"/>
              <w:spacing w:after="0"/>
              <w:rPr>
                <w:sz w:val="20"/>
                <w:szCs w:val="20"/>
                <w:color w:val="auto"/>
              </w:rPr>
            </w:pPr>
            <w:r>
              <w:rPr>
                <w:rFonts w:ascii="Calibri" w:cs="Calibri" w:eastAsia="Calibri" w:hAnsi="Calibri"/>
                <w:sz w:val="22"/>
                <w:szCs w:val="22"/>
                <w:color w:val="auto"/>
              </w:rPr>
              <w:t>Number of Sign-On LTIP Units Becoming</w:t>
            </w:r>
          </w:p>
        </w:tc>
        <w:tc>
          <w:tcPr>
            <w:tcW w:w="1040" w:type="dxa"/>
            <w:vAlign w:val="bottom"/>
          </w:tcPr>
          <w:p>
            <w:pPr>
              <w:spacing w:after="0"/>
              <w:rPr>
                <w:sz w:val="24"/>
                <w:szCs w:val="24"/>
                <w:color w:val="auto"/>
              </w:rPr>
            </w:pPr>
          </w:p>
        </w:tc>
        <w:tc>
          <w:tcPr>
            <w:tcW w:w="2680" w:type="dxa"/>
            <w:vAlign w:val="bottom"/>
            <w:tcBorders>
              <w:right w:val="single" w:sz="8" w:color="auto"/>
            </w:tcBorders>
            <w:gridSpan w:val="2"/>
          </w:tcPr>
          <w:p>
            <w:pPr>
              <w:jc w:val="center"/>
              <w:ind w:right="1060"/>
              <w:spacing w:after="0"/>
              <w:rPr>
                <w:sz w:val="20"/>
                <w:szCs w:val="20"/>
                <w:color w:val="auto"/>
              </w:rPr>
            </w:pPr>
            <w:r>
              <w:rPr>
                <w:rFonts w:ascii="Calibri" w:cs="Calibri" w:eastAsia="Calibri" w:hAnsi="Calibri"/>
                <w:sz w:val="22"/>
                <w:szCs w:val="22"/>
                <w:color w:val="auto"/>
              </w:rPr>
              <w:t>Cumulatve</w:t>
            </w:r>
          </w:p>
        </w:tc>
        <w:tc>
          <w:tcPr>
            <w:tcW w:w="0" w:type="dxa"/>
            <w:vAlign w:val="bottom"/>
          </w:tcPr>
          <w:p>
            <w:pPr>
              <w:spacing w:after="0"/>
              <w:rPr>
                <w:sz w:val="1"/>
                <w:szCs w:val="1"/>
                <w:color w:val="auto"/>
              </w:rPr>
            </w:pPr>
          </w:p>
        </w:tc>
      </w:tr>
      <w:tr>
        <w:trPr>
          <w:trHeight w:val="218"/>
        </w:trPr>
        <w:tc>
          <w:tcPr>
            <w:tcW w:w="3620" w:type="dxa"/>
            <w:vAlign w:val="bottom"/>
            <w:tcBorders>
              <w:left w:val="single" w:sz="8" w:color="auto"/>
              <w:right w:val="single" w:sz="8" w:color="auto"/>
            </w:tcBorders>
            <w:gridSpan w:val="4"/>
            <w:vMerge w:val="restart"/>
          </w:tcPr>
          <w:p>
            <w:pPr>
              <w:ind w:left="40"/>
              <w:spacing w:after="0"/>
              <w:rPr>
                <w:sz w:val="20"/>
                <w:szCs w:val="20"/>
                <w:color w:val="auto"/>
              </w:rPr>
            </w:pPr>
            <w:r>
              <w:rPr>
                <w:rFonts w:ascii="Calibri" w:cs="Calibri" w:eastAsia="Calibri" w:hAnsi="Calibri"/>
                <w:sz w:val="22"/>
                <w:szCs w:val="22"/>
                <w:color w:val="auto"/>
              </w:rPr>
              <w:t>Vestng Date</w:t>
            </w:r>
          </w:p>
        </w:tc>
        <w:tc>
          <w:tcPr>
            <w:tcW w:w="2760" w:type="dxa"/>
            <w:vAlign w:val="bottom"/>
          </w:tcPr>
          <w:p>
            <w:pPr>
              <w:jc w:val="right"/>
              <w:ind w:right="412"/>
              <w:spacing w:after="0" w:line="218" w:lineRule="exact"/>
              <w:rPr>
                <w:sz w:val="20"/>
                <w:szCs w:val="20"/>
                <w:color w:val="auto"/>
              </w:rPr>
            </w:pPr>
            <w:r>
              <w:rPr>
                <w:rFonts w:ascii="Calibri" w:cs="Calibri" w:eastAsia="Calibri" w:hAnsi="Calibri"/>
                <w:sz w:val="22"/>
                <w:szCs w:val="22"/>
                <w:color w:val="auto"/>
              </w:rPr>
              <w:t>Vested</w:t>
            </w:r>
          </w:p>
        </w:tc>
        <w:tc>
          <w:tcPr>
            <w:tcW w:w="11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tcBorders>
              <w:right w:val="single" w:sz="8" w:color="auto"/>
            </w:tcBorders>
            <w:gridSpan w:val="2"/>
          </w:tcPr>
          <w:p>
            <w:pPr>
              <w:jc w:val="center"/>
              <w:ind w:right="1060"/>
              <w:spacing w:after="0" w:line="218" w:lineRule="exact"/>
              <w:rPr>
                <w:sz w:val="20"/>
                <w:szCs w:val="20"/>
                <w:color w:val="auto"/>
              </w:rPr>
            </w:pPr>
            <w:r>
              <w:rPr>
                <w:rFonts w:ascii="Calibri" w:cs="Calibri" w:eastAsia="Calibri" w:hAnsi="Calibri"/>
                <w:sz w:val="22"/>
                <w:szCs w:val="22"/>
                <w:color w:val="auto"/>
                <w:w w:val="96"/>
              </w:rPr>
              <w:t>Percentage Vested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right w:val="single" w:sz="8" w:color="auto"/>
            </w:tcBorders>
            <w:gridSpan w:val="4"/>
            <w:vMerge w:val="continue"/>
          </w:tcPr>
          <w:p>
            <w:pPr>
              <w:spacing w:after="0"/>
              <w:rPr>
                <w:sz w:val="19"/>
                <w:szCs w:val="19"/>
                <w:color w:val="auto"/>
              </w:rPr>
            </w:pPr>
          </w:p>
        </w:tc>
        <w:tc>
          <w:tcPr>
            <w:tcW w:w="276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620" w:type="dxa"/>
            <w:vAlign w:val="bottom"/>
            <w:tcBorders>
              <w:left w:val="single" w:sz="8" w:color="auto"/>
              <w:right w:val="single" w:sz="8" w:color="auto"/>
            </w:tcBorders>
            <w:gridSpan w:val="4"/>
          </w:tcPr>
          <w:p>
            <w:pPr>
              <w:ind w:left="40"/>
              <w:spacing w:after="0" w:line="251" w:lineRule="exact"/>
              <w:rPr>
                <w:sz w:val="20"/>
                <w:szCs w:val="20"/>
                <w:color w:val="auto"/>
              </w:rPr>
            </w:pPr>
            <w:r>
              <w:rPr>
                <w:rFonts w:ascii="Calibri" w:cs="Calibri" w:eastAsia="Calibri" w:hAnsi="Calibri"/>
                <w:sz w:val="22"/>
                <w:szCs w:val="22"/>
                <w:color w:val="auto"/>
              </w:rPr>
              <w:t>March 1, 2027</w:t>
            </w:r>
          </w:p>
        </w:tc>
        <w:tc>
          <w:tcPr>
            <w:tcW w:w="2760" w:type="dxa"/>
            <w:vAlign w:val="bottom"/>
          </w:tcPr>
          <w:p>
            <w:pPr>
              <w:jc w:val="right"/>
              <w:ind w:right="1432"/>
              <w:spacing w:after="0" w:line="251" w:lineRule="exact"/>
              <w:rPr>
                <w:sz w:val="20"/>
                <w:szCs w:val="20"/>
                <w:color w:val="auto"/>
              </w:rPr>
            </w:pPr>
            <w:r>
              <w:rPr>
                <w:rFonts w:ascii="Calibri" w:cs="Calibri" w:eastAsia="Calibri" w:hAnsi="Calibri"/>
                <w:sz w:val="22"/>
                <w:szCs w:val="22"/>
                <w:color w:val="auto"/>
              </w:rPr>
              <w:t>(50%)</w:t>
            </w:r>
          </w:p>
        </w:tc>
        <w:tc>
          <w:tcPr>
            <w:tcW w:w="116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jc w:val="center"/>
              <w:spacing w:after="0" w:line="251" w:lineRule="exact"/>
              <w:rPr>
                <w:sz w:val="20"/>
                <w:szCs w:val="20"/>
                <w:color w:val="auto"/>
              </w:rPr>
            </w:pPr>
            <w:r>
              <w:rPr>
                <w:rFonts w:ascii="Calibri" w:cs="Calibri" w:eastAsia="Calibri" w:hAnsi="Calibri"/>
                <w:sz w:val="22"/>
                <w:szCs w:val="22"/>
                <w:color w:val="auto"/>
                <w:w w:val="99"/>
              </w:rPr>
              <w:t>50%</w:t>
            </w: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4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gridSpan w:val="2"/>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620" w:type="dxa"/>
            <w:vAlign w:val="bottom"/>
            <w:tcBorders>
              <w:left w:val="single" w:sz="8" w:color="auto"/>
              <w:right w:val="single" w:sz="8" w:color="auto"/>
            </w:tcBorders>
            <w:gridSpan w:val="4"/>
          </w:tcPr>
          <w:p>
            <w:pPr>
              <w:ind w:left="40"/>
              <w:spacing w:after="0" w:line="251" w:lineRule="exact"/>
              <w:rPr>
                <w:sz w:val="20"/>
                <w:szCs w:val="20"/>
                <w:color w:val="auto"/>
              </w:rPr>
            </w:pPr>
            <w:r>
              <w:rPr>
                <w:rFonts w:ascii="Calibri" w:cs="Calibri" w:eastAsia="Calibri" w:hAnsi="Calibri"/>
                <w:sz w:val="22"/>
                <w:szCs w:val="22"/>
                <w:color w:val="auto"/>
              </w:rPr>
              <w:t>March 1, 2028</w:t>
            </w:r>
          </w:p>
        </w:tc>
        <w:tc>
          <w:tcPr>
            <w:tcW w:w="2760" w:type="dxa"/>
            <w:vAlign w:val="bottom"/>
          </w:tcPr>
          <w:p>
            <w:pPr>
              <w:jc w:val="right"/>
              <w:ind w:right="1432"/>
              <w:spacing w:after="0" w:line="251" w:lineRule="exact"/>
              <w:rPr>
                <w:sz w:val="20"/>
                <w:szCs w:val="20"/>
                <w:color w:val="auto"/>
              </w:rPr>
            </w:pPr>
            <w:r>
              <w:rPr>
                <w:rFonts w:ascii="Calibri" w:cs="Calibri" w:eastAsia="Calibri" w:hAnsi="Calibri"/>
                <w:sz w:val="22"/>
                <w:szCs w:val="22"/>
                <w:color w:val="auto"/>
              </w:rPr>
              <w:t>(25%)</w:t>
            </w:r>
          </w:p>
        </w:tc>
        <w:tc>
          <w:tcPr>
            <w:tcW w:w="116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jc w:val="center"/>
              <w:spacing w:after="0" w:line="251" w:lineRule="exact"/>
              <w:rPr>
                <w:sz w:val="20"/>
                <w:szCs w:val="20"/>
                <w:color w:val="auto"/>
              </w:rPr>
            </w:pPr>
            <w:r>
              <w:rPr>
                <w:rFonts w:ascii="Calibri" w:cs="Calibri" w:eastAsia="Calibri" w:hAnsi="Calibri"/>
                <w:sz w:val="22"/>
                <w:szCs w:val="22"/>
                <w:color w:val="auto"/>
                <w:w w:val="99"/>
              </w:rPr>
              <w:t>75%</w:t>
            </w: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4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gridSpan w:val="2"/>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620" w:type="dxa"/>
            <w:vAlign w:val="bottom"/>
            <w:tcBorders>
              <w:left w:val="single" w:sz="8" w:color="auto"/>
              <w:right w:val="single" w:sz="8" w:color="auto"/>
            </w:tcBorders>
            <w:gridSpan w:val="4"/>
          </w:tcPr>
          <w:p>
            <w:pPr>
              <w:ind w:left="40"/>
              <w:spacing w:after="0" w:line="251" w:lineRule="exact"/>
              <w:rPr>
                <w:sz w:val="20"/>
                <w:szCs w:val="20"/>
                <w:color w:val="auto"/>
              </w:rPr>
            </w:pPr>
            <w:r>
              <w:rPr>
                <w:rFonts w:ascii="Calibri" w:cs="Calibri" w:eastAsia="Calibri" w:hAnsi="Calibri"/>
                <w:sz w:val="22"/>
                <w:szCs w:val="22"/>
                <w:color w:val="auto"/>
              </w:rPr>
              <w:t>March 1, 2029</w:t>
            </w:r>
          </w:p>
        </w:tc>
        <w:tc>
          <w:tcPr>
            <w:tcW w:w="2760" w:type="dxa"/>
            <w:vAlign w:val="bottom"/>
          </w:tcPr>
          <w:p>
            <w:pPr>
              <w:jc w:val="right"/>
              <w:ind w:right="1432"/>
              <w:spacing w:after="0" w:line="251" w:lineRule="exact"/>
              <w:rPr>
                <w:sz w:val="20"/>
                <w:szCs w:val="20"/>
                <w:color w:val="auto"/>
              </w:rPr>
            </w:pPr>
            <w:r>
              <w:rPr>
                <w:rFonts w:ascii="Calibri" w:cs="Calibri" w:eastAsia="Calibri" w:hAnsi="Calibri"/>
                <w:sz w:val="22"/>
                <w:szCs w:val="22"/>
                <w:color w:val="auto"/>
              </w:rPr>
              <w:t>(25%)</w:t>
            </w:r>
          </w:p>
        </w:tc>
        <w:tc>
          <w:tcPr>
            <w:tcW w:w="116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jc w:val="center"/>
              <w:spacing w:after="0" w:line="251" w:lineRule="exact"/>
              <w:rPr>
                <w:sz w:val="20"/>
                <w:szCs w:val="20"/>
                <w:color w:val="auto"/>
              </w:rPr>
            </w:pPr>
            <w:r>
              <w:rPr>
                <w:rFonts w:ascii="Calibri" w:cs="Calibri" w:eastAsia="Calibri" w:hAnsi="Calibri"/>
                <w:sz w:val="22"/>
                <w:szCs w:val="22"/>
                <w:color w:val="auto"/>
              </w:rPr>
              <w:t>100%</w:t>
            </w: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4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22"/>
          <w:szCs w:val="22"/>
          <w:color w:val="auto"/>
        </w:rPr>
        <w:t>Initals of Company representatve: _________</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color w:val="auto"/>
        </w:rPr>
        <w:t>Initals of Grantee: _________</w:t>
      </w:r>
    </w:p>
    <w:p>
      <w:pPr>
        <w:sectPr>
          <w:pgSz w:w="11900" w:h="16838" w:orient="portrait"/>
          <w:cols w:equalWidth="0" w:num="1">
            <w:col w:w="11260"/>
          </w:cols>
          <w:pgMar w:left="320" w:top="1396"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THE MACERICH COMPANY</w:t>
      </w:r>
    </w:p>
    <w:p>
      <w:pPr>
        <w:jc w:val="center"/>
        <w:spacing w:after="0" w:line="193" w:lineRule="auto"/>
        <w:rPr>
          <w:sz w:val="20"/>
          <w:szCs w:val="20"/>
          <w:color w:val="auto"/>
        </w:rPr>
      </w:pPr>
      <w:r>
        <w:rPr>
          <w:rFonts w:ascii="Calibri" w:cs="Calibri" w:eastAsia="Calibri" w:hAnsi="Calibri"/>
          <w:sz w:val="22"/>
          <w:szCs w:val="22"/>
          <w:b w:val="1"/>
          <w:bCs w:val="1"/>
          <w:color w:val="auto"/>
        </w:rPr>
        <w:t>2024 LTIP INDUCEMENT UNIT AWARD AGREEMENT</w:t>
      </w:r>
    </w:p>
    <w:p>
      <w:pPr>
        <w:jc w:val="center"/>
        <w:spacing w:after="0" w:line="193" w:lineRule="auto"/>
        <w:rPr>
          <w:sz w:val="20"/>
          <w:szCs w:val="20"/>
          <w:color w:val="auto"/>
        </w:rPr>
      </w:pPr>
      <w:r>
        <w:rPr>
          <w:rFonts w:ascii="Calibri" w:cs="Calibri" w:eastAsia="Calibri" w:hAnsi="Calibri"/>
          <w:sz w:val="22"/>
          <w:szCs w:val="22"/>
          <w:b w:val="1"/>
          <w:bCs w:val="1"/>
          <w:color w:val="auto"/>
        </w:rPr>
        <w:t>(Service-Based)</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32" w:lineRule="auto"/>
        <w:rPr>
          <w:sz w:val="20"/>
          <w:szCs w:val="20"/>
          <w:color w:val="auto"/>
        </w:rPr>
      </w:pPr>
      <w:r>
        <w:rPr>
          <w:rFonts w:ascii="Calibri" w:cs="Calibri" w:eastAsia="Calibri" w:hAnsi="Calibri"/>
          <w:sz w:val="22"/>
          <w:szCs w:val="22"/>
          <w:color w:val="auto"/>
        </w:rPr>
        <w:t>This 2024 LTIP INDUCEMENT UNIT AWARD AGREEMENT (Service-Based) (this “</w:t>
      </w:r>
      <w:r>
        <w:rPr>
          <w:rFonts w:ascii="Calibri" w:cs="Calibri" w:eastAsia="Calibri" w:hAnsi="Calibri"/>
          <w:sz w:val="22"/>
          <w:szCs w:val="22"/>
          <w:u w:val="single" w:color="auto"/>
          <w:color w:val="auto"/>
        </w:rPr>
        <w:t>Agreement</w:t>
      </w:r>
      <w:r>
        <w:rPr>
          <w:rFonts w:ascii="Calibri" w:cs="Calibri" w:eastAsia="Calibri" w:hAnsi="Calibri"/>
          <w:sz w:val="22"/>
          <w:szCs w:val="22"/>
          <w:color w:val="auto"/>
        </w:rPr>
        <w:t>” or “</w:t>
      </w:r>
      <w:r>
        <w:rPr>
          <w:rFonts w:ascii="Calibri" w:cs="Calibri" w:eastAsia="Calibri" w:hAnsi="Calibri"/>
          <w:sz w:val="22"/>
          <w:szCs w:val="22"/>
          <w:u w:val="single" w:color="auto"/>
          <w:color w:val="auto"/>
        </w:rPr>
        <w:t>Award Agreement</w:t>
      </w:r>
      <w:r>
        <w:rPr>
          <w:rFonts w:ascii="Calibri" w:cs="Calibri" w:eastAsia="Calibri" w:hAnsi="Calibri"/>
          <w:sz w:val="22"/>
          <w:szCs w:val="22"/>
          <w:color w:val="auto"/>
        </w:rPr>
        <w:t xml:space="preserve">”) is made as of the date set forth on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between The Macerich Company, a Maryland corporaton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its subsidiary The Macerich Partnership, L.P., a Delaware limited partnership and the entty through which the Company conducts substantally all of its operatons (the “</w:t>
      </w:r>
      <w:r>
        <w:rPr>
          <w:rFonts w:ascii="Calibri" w:cs="Calibri" w:eastAsia="Calibri" w:hAnsi="Calibri"/>
          <w:sz w:val="22"/>
          <w:szCs w:val="22"/>
          <w:u w:val="single" w:color="auto"/>
          <w:color w:val="auto"/>
        </w:rPr>
        <w:t>Partnership</w:t>
      </w:r>
      <w:r>
        <w:rPr>
          <w:rFonts w:ascii="Calibri" w:cs="Calibri" w:eastAsia="Calibri" w:hAnsi="Calibri"/>
          <w:sz w:val="22"/>
          <w:szCs w:val="22"/>
          <w:color w:val="auto"/>
        </w:rPr>
        <w:t xml:space="preserve">”), and the party listed on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(the “</w:t>
      </w:r>
      <w:r>
        <w:rPr>
          <w:rFonts w:ascii="Calibri" w:cs="Calibri" w:eastAsia="Calibri" w:hAnsi="Calibri"/>
          <w:sz w:val="22"/>
          <w:szCs w:val="22"/>
          <w:u w:val="single" w:color="auto"/>
          <w:color w:val="auto"/>
        </w:rPr>
        <w:t>Grantee</w:t>
      </w:r>
      <w:r>
        <w:rPr>
          <w:rFonts w:ascii="Calibri" w:cs="Calibri" w:eastAsia="Calibri" w:hAnsi="Calibri"/>
          <w:sz w:val="22"/>
          <w:szCs w:val="22"/>
          <w:color w:val="auto"/>
        </w:rPr>
        <w:t>”).</w:t>
      </w: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22"/>
          <w:szCs w:val="22"/>
          <w:u w:val="single" w:color="auto"/>
          <w:color w:val="auto"/>
        </w:rPr>
        <w:t>RECITALS</w:t>
      </w:r>
    </w:p>
    <w:p>
      <w:pPr>
        <w:spacing w:after="0" w:line="204" w:lineRule="exact"/>
        <w:rPr>
          <w:sz w:val="20"/>
          <w:szCs w:val="20"/>
          <w:color w:val="auto"/>
        </w:rPr>
      </w:pPr>
    </w:p>
    <w:p>
      <w:pPr>
        <w:ind w:left="1100" w:hanging="444"/>
        <w:spacing w:after="0"/>
        <w:tabs>
          <w:tab w:leader="none" w:pos="1100" w:val="left"/>
        </w:tabs>
        <w:numPr>
          <w:ilvl w:val="0"/>
          <w:numId w:val="115"/>
        </w:numPr>
        <w:rPr>
          <w:rFonts w:ascii="Calibri" w:cs="Calibri" w:eastAsia="Calibri" w:hAnsi="Calibri"/>
          <w:sz w:val="22"/>
          <w:szCs w:val="22"/>
          <w:color w:val="auto"/>
        </w:rPr>
      </w:pPr>
      <w:r>
        <w:rPr>
          <w:rFonts w:ascii="Calibri" w:cs="Calibri" w:eastAsia="Calibri" w:hAnsi="Calibri"/>
          <w:sz w:val="22"/>
          <w:szCs w:val="22"/>
          <w:color w:val="auto"/>
        </w:rPr>
        <w:t>The Grantee is a key employee of the Company or one of its Subsidiaries or afliates and provides services to the</w:t>
      </w:r>
    </w:p>
    <w:p>
      <w:pPr>
        <w:spacing w:after="0" w:line="231" w:lineRule="auto"/>
        <w:rPr>
          <w:rFonts w:ascii="Calibri" w:cs="Calibri" w:eastAsia="Calibri" w:hAnsi="Calibri"/>
          <w:sz w:val="22"/>
          <w:szCs w:val="22"/>
          <w:color w:val="auto"/>
        </w:rPr>
      </w:pPr>
      <w:r>
        <w:rPr>
          <w:rFonts w:ascii="Calibri" w:cs="Calibri" w:eastAsia="Calibri" w:hAnsi="Calibri"/>
          <w:sz w:val="22"/>
          <w:szCs w:val="22"/>
          <w:color w:val="auto"/>
        </w:rPr>
        <w:t>Partnership.</w:t>
      </w:r>
    </w:p>
    <w:p>
      <w:pPr>
        <w:spacing w:after="0" w:line="228" w:lineRule="exact"/>
        <w:rPr>
          <w:rFonts w:ascii="Calibri" w:cs="Calibri" w:eastAsia="Calibri" w:hAnsi="Calibri"/>
          <w:sz w:val="22"/>
          <w:szCs w:val="22"/>
          <w:color w:val="auto"/>
        </w:rPr>
      </w:pPr>
    </w:p>
    <w:p>
      <w:pPr>
        <w:jc w:val="both"/>
        <w:ind w:firstLine="656"/>
        <w:spacing w:after="0" w:line="230" w:lineRule="auto"/>
        <w:tabs>
          <w:tab w:leader="none" w:pos="1032" w:val="left"/>
        </w:tabs>
        <w:numPr>
          <w:ilvl w:val="0"/>
          <w:numId w:val="115"/>
        </w:numPr>
        <w:rPr>
          <w:rFonts w:ascii="Calibri" w:cs="Calibri" w:eastAsia="Calibri" w:hAnsi="Calibri"/>
          <w:sz w:val="22"/>
          <w:szCs w:val="22"/>
          <w:color w:val="auto"/>
        </w:rPr>
      </w:pPr>
      <w:r>
        <w:rPr>
          <w:rFonts w:ascii="Calibri" w:cs="Calibri" w:eastAsia="Calibri" w:hAnsi="Calibri"/>
          <w:sz w:val="22"/>
          <w:szCs w:val="22"/>
          <w:color w:val="auto"/>
        </w:rPr>
        <w:t>2024 LTIP Units (SB) (as defned herein) have been awarded by the Board of Directors of the Company (the “</w:t>
      </w:r>
      <w:r>
        <w:rPr>
          <w:rFonts w:ascii="Calibri" w:cs="Calibri" w:eastAsia="Calibri" w:hAnsi="Calibri"/>
          <w:sz w:val="22"/>
          <w:szCs w:val="22"/>
          <w:u w:val="single" w:color="auto"/>
          <w:color w:val="auto"/>
        </w:rPr>
        <w:t>Board</w:t>
      </w:r>
      <w:r>
        <w:rPr>
          <w:rFonts w:ascii="Calibri" w:cs="Calibri" w:eastAsia="Calibri" w:hAnsi="Calibri"/>
          <w:sz w:val="22"/>
          <w:szCs w:val="22"/>
          <w:color w:val="auto"/>
        </w:rPr>
        <w:t>”) pursuant to authority set forth in the Commitee’s charter, including authority to make grants of equity interests in the Partnership. This Agreement evidences an award to the Grantee (this “</w:t>
      </w:r>
      <w:r>
        <w:rPr>
          <w:rFonts w:ascii="Calibri" w:cs="Calibri" w:eastAsia="Calibri" w:hAnsi="Calibri"/>
          <w:sz w:val="22"/>
          <w:szCs w:val="22"/>
          <w:u w:val="single" w:color="auto"/>
          <w:color w:val="auto"/>
        </w:rPr>
        <w:t>Award</w:t>
      </w:r>
      <w:r>
        <w:rPr>
          <w:rFonts w:ascii="Calibri" w:cs="Calibri" w:eastAsia="Calibri" w:hAnsi="Calibri"/>
          <w:sz w:val="22"/>
          <w:szCs w:val="22"/>
          <w:color w:val="auto"/>
        </w:rPr>
        <w:t>”), which is subject to the terms and conditons set forth herein. This Award consttutes a non-plan “inducement award,” as contemplated by New York Stock Exchange Listed Company Manual Rule 303A.08, and is therefore not made pursuant to The Macerich Company 2003 Equity Incentve Plan, or any successor equity plan (as such plan may be amended, modifed or supplemented from tme to tme, collectvely the “</w:t>
      </w:r>
      <w:r>
        <w:rPr>
          <w:rFonts w:ascii="Calibri" w:cs="Calibri" w:eastAsia="Calibri" w:hAnsi="Calibri"/>
          <w:sz w:val="22"/>
          <w:szCs w:val="22"/>
          <w:u w:val="single" w:color="auto"/>
          <w:color w:val="auto"/>
        </w:rPr>
        <w:t>Stock</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Plan</w:t>
      </w:r>
      <w:r>
        <w:rPr>
          <w:rFonts w:ascii="Calibri" w:cs="Calibri" w:eastAsia="Calibri" w:hAnsi="Calibri"/>
          <w:sz w:val="22"/>
          <w:szCs w:val="22"/>
          <w:color w:val="auto"/>
        </w:rPr>
        <w:t>”) or the Company’s Long-Term Incentve Plan (the “</w:t>
      </w:r>
      <w:r>
        <w:rPr>
          <w:rFonts w:ascii="Calibri" w:cs="Calibri" w:eastAsia="Calibri" w:hAnsi="Calibri"/>
          <w:sz w:val="22"/>
          <w:szCs w:val="22"/>
          <w:u w:val="single" w:color="auto"/>
          <w:color w:val="auto"/>
        </w:rPr>
        <w:t>LTIP</w:t>
      </w:r>
      <w:r>
        <w:rPr>
          <w:rFonts w:ascii="Calibri" w:cs="Calibri" w:eastAsia="Calibri" w:hAnsi="Calibri"/>
          <w:sz w:val="22"/>
          <w:szCs w:val="22"/>
          <w:color w:val="auto"/>
        </w:rPr>
        <w:t>”). Nonetheless, the terms and provisions of the 2003 Plan and the LTIP are hereby incorporated into this Agreement by this reference, as though fully set forth herein, as if this Award were granted pursuant to the 2003 Plan and the LTIP. Unless the context herein otherwise requires, the terms defned in the 2003 Plan and the LTIP shall have the same meanings herein.</w:t>
      </w:r>
    </w:p>
    <w:p>
      <w:pPr>
        <w:spacing w:after="0" w:line="220" w:lineRule="exact"/>
        <w:rPr>
          <w:rFonts w:ascii="Calibri" w:cs="Calibri" w:eastAsia="Calibri" w:hAnsi="Calibri"/>
          <w:sz w:val="22"/>
          <w:szCs w:val="22"/>
          <w:color w:val="auto"/>
        </w:rPr>
      </w:pPr>
    </w:p>
    <w:p>
      <w:pPr>
        <w:jc w:val="both"/>
        <w:ind w:firstLine="656"/>
        <w:spacing w:after="0" w:line="231" w:lineRule="auto"/>
        <w:tabs>
          <w:tab w:leader="none" w:pos="1094" w:val="left"/>
        </w:tabs>
        <w:numPr>
          <w:ilvl w:val="0"/>
          <w:numId w:val="115"/>
        </w:numPr>
        <w:rPr>
          <w:rFonts w:ascii="Calibri" w:cs="Calibri" w:eastAsia="Calibri" w:hAnsi="Calibri"/>
          <w:sz w:val="22"/>
          <w:szCs w:val="22"/>
          <w:color w:val="auto"/>
        </w:rPr>
      </w:pPr>
      <w:r>
        <w:rPr>
          <w:rFonts w:ascii="Calibri" w:cs="Calibri" w:eastAsia="Calibri" w:hAnsi="Calibri"/>
          <w:sz w:val="22"/>
          <w:szCs w:val="22"/>
          <w:color w:val="auto"/>
        </w:rPr>
        <w:t xml:space="preserve">The Grantee was selected by the Board to receive this Award as one of a select group of highly compensated or management employees who, through the efectve executon of their assigned dutes and responsibilites, are in a positon to have a direct and measurable impact on the Company’s long-term fnancial results. Efectve as of the grant date specifed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the Board awarded to the Grantee the number of 2024 LTIP Units (SB) (as defned herein) set forth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w:t>
      </w:r>
    </w:p>
    <w:p>
      <w:pPr>
        <w:spacing w:after="0" w:line="209"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auto"/>
        </w:rPr>
        <w:t>NOW, THEREFORE</w:t>
      </w:r>
      <w:r>
        <w:rPr>
          <w:rFonts w:ascii="Calibri" w:cs="Calibri" w:eastAsia="Calibri" w:hAnsi="Calibri"/>
          <w:sz w:val="22"/>
          <w:szCs w:val="22"/>
          <w:color w:val="auto"/>
        </w:rPr>
        <w:t>, the Company, the Partnership and the Grantee agree as follows:</w:t>
      </w:r>
    </w:p>
    <w:p>
      <w:pPr>
        <w:spacing w:after="0" w:line="228" w:lineRule="exact"/>
        <w:rPr>
          <w:sz w:val="20"/>
          <w:szCs w:val="20"/>
          <w:color w:val="auto"/>
        </w:rPr>
      </w:pPr>
    </w:p>
    <w:p>
      <w:pPr>
        <w:jc w:val="both"/>
        <w:ind w:firstLine="656"/>
        <w:spacing w:after="0" w:line="229" w:lineRule="auto"/>
        <w:tabs>
          <w:tab w:leader="none" w:pos="1284" w:val="left"/>
        </w:tabs>
        <w:numPr>
          <w:ilvl w:val="0"/>
          <w:numId w:val="116"/>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Administraton</w:t>
      </w:r>
      <w:r>
        <w:rPr>
          <w:rFonts w:ascii="Calibri" w:cs="Calibri" w:eastAsia="Calibri" w:hAnsi="Calibri"/>
          <w:sz w:val="22"/>
          <w:szCs w:val="22"/>
          <w:u w:val="single" w:color="auto"/>
          <w:color w:val="auto"/>
        </w:rPr>
        <w: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 LTIP and this Award shall be administered by the Compensaton Commitee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“Commitee”), which in the administraton of this Award and the LTIP shall have all the powers and authority it has in the administraton of the Stock Plan, as set forth in the Stock Plan. The Commitee may from tme to tme adopt any rules or</w:t>
      </w:r>
    </w:p>
    <w:p>
      <w:pPr>
        <w:sectPr>
          <w:pgSz w:w="11900" w:h="16838" w:orient="portrait"/>
          <w:cols w:equalWidth="0" w:num="1">
            <w:col w:w="11240"/>
          </w:cols>
          <w:pgMar w:left="320" w:top="1418" w:right="339" w:bottom="1440" w:gutter="0" w:footer="0" w:header="0"/>
        </w:sectPr>
      </w:pPr>
    </w:p>
    <w:bookmarkStart w:id="109" w:name="page110"/>
    <w:bookmarkEnd w:id="109"/>
    <w:p>
      <w:pPr>
        <w:spacing w:after="0" w:line="229" w:lineRule="auto"/>
        <w:rPr>
          <w:sz w:val="20"/>
          <w:szCs w:val="20"/>
          <w:color w:val="auto"/>
        </w:rPr>
      </w:pPr>
      <w:r>
        <w:rPr>
          <w:rFonts w:ascii="Calibri" w:cs="Calibri" w:eastAsia="Calibri" w:hAnsi="Calibri"/>
          <w:sz w:val="22"/>
          <w:szCs w:val="22"/>
          <w:color w:val="auto"/>
        </w:rPr>
        <w:t>procedures it deems necessary or desirable for the proper and efcient administraton of this Award and the LTIP, consistent with the terms hereof and of the Stock Plan.</w:t>
      </w:r>
    </w:p>
    <w:p>
      <w:pPr>
        <w:spacing w:after="0" w:line="217" w:lineRule="exact"/>
        <w:rPr>
          <w:sz w:val="20"/>
          <w:szCs w:val="20"/>
          <w:color w:val="auto"/>
        </w:rPr>
      </w:pPr>
    </w:p>
    <w:p>
      <w:pPr>
        <w:ind w:firstLine="656"/>
        <w:spacing w:after="0" w:line="235" w:lineRule="auto"/>
        <w:tabs>
          <w:tab w:leader="none" w:pos="1284" w:val="left"/>
        </w:tabs>
        <w:numPr>
          <w:ilvl w:val="0"/>
          <w:numId w:val="117"/>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Defnitons</w:t>
      </w:r>
      <w:r>
        <w:rPr>
          <w:rFonts w:ascii="Calibri" w:cs="Calibri" w:eastAsia="Calibri" w:hAnsi="Calibri"/>
          <w:sz w:val="22"/>
          <w:szCs w:val="22"/>
          <w:u w:val="single" w:color="auto"/>
          <w:color w:val="auto"/>
        </w:rPr>
        <w: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Capitalized terms used herein without defnitons shall have the meanings given to those terms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 Stock Plan. In additon, as used herein:</w:t>
      </w:r>
    </w:p>
    <w:p>
      <w:pPr>
        <w:spacing w:after="0" w:line="206" w:lineRule="exact"/>
        <w:rPr>
          <w:sz w:val="20"/>
          <w:szCs w:val="20"/>
          <w:color w:val="auto"/>
        </w:rPr>
      </w:pPr>
    </w:p>
    <w:p>
      <w:pPr>
        <w:ind w:left="58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2024 LTIP Units (SB)</w:t>
      </w:r>
      <w:r>
        <w:rPr>
          <w:rFonts w:ascii="Calibri" w:cs="Calibri" w:eastAsia="Calibri" w:hAnsi="Calibri"/>
          <w:sz w:val="22"/>
          <w:szCs w:val="22"/>
          <w:color w:val="auto"/>
        </w:rPr>
        <w:t xml:space="preserve">” has the meaning set forth in </w:t>
      </w:r>
      <w:r>
        <w:rPr>
          <w:rFonts w:ascii="Calibri" w:cs="Calibri" w:eastAsia="Calibri" w:hAnsi="Calibri"/>
          <w:sz w:val="22"/>
          <w:szCs w:val="22"/>
          <w:u w:val="single" w:color="auto"/>
          <w:color w:val="auto"/>
        </w:rPr>
        <w:t>Secton 3(a)</w:t>
      </w:r>
      <w:r>
        <w:rPr>
          <w:rFonts w:ascii="Calibri" w:cs="Calibri" w:eastAsia="Calibri" w:hAnsi="Calibri"/>
          <w:sz w:val="22"/>
          <w:szCs w:val="22"/>
          <w:color w:val="auto"/>
        </w:rPr>
        <w:t>.</w:t>
      </w:r>
    </w:p>
    <w:p>
      <w:pPr>
        <w:spacing w:after="0" w:line="214" w:lineRule="exact"/>
        <w:rPr>
          <w:sz w:val="20"/>
          <w:szCs w:val="20"/>
          <w:color w:val="auto"/>
        </w:rPr>
      </w:pPr>
    </w:p>
    <w:p>
      <w:pPr>
        <w:ind w:firstLine="567"/>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Cause</w:t>
      </w:r>
      <w:r>
        <w:rPr>
          <w:rFonts w:ascii="Calibri" w:cs="Calibri" w:eastAsia="Calibri" w:hAnsi="Calibri"/>
          <w:sz w:val="22"/>
          <w:szCs w:val="22"/>
          <w:color w:val="auto"/>
        </w:rPr>
        <w:t>” means “Cause” as defned in the Severance Arrangement, as modifed pursuant to the terms and conditons of Grantee’s Service Agreement.</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Change of Control</w:t>
      </w:r>
      <w:r>
        <w:rPr>
          <w:rFonts w:ascii="Calibri" w:cs="Calibri" w:eastAsia="Calibri" w:hAnsi="Calibri"/>
          <w:sz w:val="22"/>
          <w:szCs w:val="22"/>
          <w:color w:val="auto"/>
        </w:rPr>
        <w:t>” means any of the following:</w:t>
      </w:r>
    </w:p>
    <w:p>
      <w:pPr>
        <w:spacing w:after="0" w:line="230" w:lineRule="exact"/>
        <w:rPr>
          <w:sz w:val="20"/>
          <w:szCs w:val="20"/>
          <w:color w:val="auto"/>
        </w:rPr>
      </w:pPr>
    </w:p>
    <w:p>
      <w:pPr>
        <w:jc w:val="both"/>
        <w:ind w:firstLine="1304"/>
        <w:spacing w:after="0" w:line="230" w:lineRule="auto"/>
        <w:tabs>
          <w:tab w:leader="none" w:pos="1935" w:val="left"/>
        </w:tabs>
        <w:numPr>
          <w:ilvl w:val="0"/>
          <w:numId w:val="118"/>
        </w:numPr>
        <w:rPr>
          <w:rFonts w:ascii="Calibri" w:cs="Calibri" w:eastAsia="Calibri" w:hAnsi="Calibri"/>
          <w:sz w:val="22"/>
          <w:szCs w:val="22"/>
          <w:color w:val="auto"/>
        </w:rPr>
      </w:pPr>
      <w:r>
        <w:rPr>
          <w:rFonts w:ascii="Calibri" w:cs="Calibri" w:eastAsia="Calibri" w:hAnsi="Calibri"/>
          <w:sz w:val="22"/>
          <w:szCs w:val="22"/>
          <w:color w:val="auto"/>
        </w:rPr>
        <w:t>The acquisiton by any Person of benefcial ownership (within the meaning of Rule 13d-3 promulgated under the Exchange Act) of 33% or more of either (A) the then-outstanding shares of common stock of the Company (the “</w:t>
      </w:r>
      <w:r>
        <w:rPr>
          <w:rFonts w:ascii="Calibri" w:cs="Calibri" w:eastAsia="Calibri" w:hAnsi="Calibri"/>
          <w:sz w:val="22"/>
          <w:szCs w:val="22"/>
          <w:u w:val="single" w:color="auto"/>
          <w:color w:val="auto"/>
        </w:rPr>
        <w:t>Outstanding Company Common Stock</w:t>
      </w:r>
      <w:r>
        <w:rPr>
          <w:rFonts w:ascii="Calibri" w:cs="Calibri" w:eastAsia="Calibri" w:hAnsi="Calibri"/>
          <w:sz w:val="22"/>
          <w:szCs w:val="22"/>
          <w:color w:val="auto"/>
        </w:rPr>
        <w:t>”) or (B) the combined votng power of the then-outstanding votng securites of the Company enttled to vote generally in the electon of directors (the “</w:t>
      </w:r>
      <w:r>
        <w:rPr>
          <w:rFonts w:ascii="Calibri" w:cs="Calibri" w:eastAsia="Calibri" w:hAnsi="Calibri"/>
          <w:sz w:val="22"/>
          <w:szCs w:val="22"/>
          <w:u w:val="single" w:color="auto"/>
          <w:color w:val="auto"/>
        </w:rPr>
        <w:t>Outstanding Company Votng Securites</w:t>
      </w:r>
      <w:r>
        <w:rPr>
          <w:rFonts w:ascii="Calibri" w:cs="Calibri" w:eastAsia="Calibri" w:hAnsi="Calibri"/>
          <w:sz w:val="22"/>
          <w:szCs w:val="22"/>
          <w:color w:val="auto"/>
        </w:rPr>
        <w:t>”); provided, however, that, for purposes of this defniton, the following acquisitons shall not consttute a Change of Control: (i) any acquisiton directly from the Company, (ii) any acquisiton by the Company, (iii) any acquisiton by any employee beneft plan (or related trust) sponsored or maintained by the Company or any afliate of the Company or successor or (iv) any acquisiton by any entty pursuant to a transacton that complies with (c)(i), (c)(ii) and (c)(iii) below;</w:t>
      </w:r>
    </w:p>
    <w:p>
      <w:pPr>
        <w:spacing w:after="0" w:line="222" w:lineRule="exact"/>
        <w:rPr>
          <w:rFonts w:ascii="Calibri" w:cs="Calibri" w:eastAsia="Calibri" w:hAnsi="Calibri"/>
          <w:sz w:val="22"/>
          <w:szCs w:val="22"/>
          <w:color w:val="auto"/>
        </w:rPr>
      </w:pPr>
    </w:p>
    <w:p>
      <w:pPr>
        <w:jc w:val="both"/>
        <w:ind w:firstLine="1304"/>
        <w:spacing w:after="0" w:line="230" w:lineRule="auto"/>
        <w:tabs>
          <w:tab w:leader="none" w:pos="1932" w:val="left"/>
        </w:tabs>
        <w:numPr>
          <w:ilvl w:val="0"/>
          <w:numId w:val="118"/>
        </w:numPr>
        <w:rPr>
          <w:rFonts w:ascii="Calibri" w:cs="Calibri" w:eastAsia="Calibri" w:hAnsi="Calibri"/>
          <w:sz w:val="22"/>
          <w:szCs w:val="22"/>
          <w:color w:val="auto"/>
        </w:rPr>
      </w:pPr>
      <w:r>
        <w:rPr>
          <w:rFonts w:ascii="Calibri" w:cs="Calibri" w:eastAsia="Calibri" w:hAnsi="Calibri"/>
          <w:sz w:val="22"/>
          <w:szCs w:val="22"/>
          <w:color w:val="auto"/>
        </w:rPr>
        <w:t>Individuals who, as of the date hereof, consttute the Board (the “</w:t>
      </w:r>
      <w:r>
        <w:rPr>
          <w:rFonts w:ascii="Calibri" w:cs="Calibri" w:eastAsia="Calibri" w:hAnsi="Calibri"/>
          <w:sz w:val="22"/>
          <w:szCs w:val="22"/>
          <w:u w:val="single" w:color="auto"/>
          <w:color w:val="auto"/>
        </w:rPr>
        <w:t>Incumbent Board</w:t>
      </w:r>
      <w:r>
        <w:rPr>
          <w:rFonts w:ascii="Calibri" w:cs="Calibri" w:eastAsia="Calibri" w:hAnsi="Calibri"/>
          <w:sz w:val="22"/>
          <w:szCs w:val="22"/>
          <w:color w:val="auto"/>
        </w:rPr>
        <w:t>”) cease for any reason to consttute at least a majority of the Board; provided, however, that any individual becoming a director subsequent to the date hereof whose electon, or nominaton for electon by the Company’s stockholders, was approved by a vote of at least two-thirds of the directors then comprising the Incumbent Board (including for these purposes, the new members whose electon or nominaton was so approved, without countng the member and his predecessor twice) shall be considered as though such individual were a member of the Incumbent Board, but excluding, for this purpose, any such individual whose inital assumpton of ofce occurs as a result of an actual or threatened electon contest with respect to the electon or removal of directors or other actual or threatened solicitaton of proxies or consents by or on behalf of a Person other than the Board;</w:t>
      </w:r>
    </w:p>
    <w:p>
      <w:pPr>
        <w:spacing w:after="0" w:line="236" w:lineRule="exact"/>
        <w:rPr>
          <w:rFonts w:ascii="Calibri" w:cs="Calibri" w:eastAsia="Calibri" w:hAnsi="Calibri"/>
          <w:sz w:val="22"/>
          <w:szCs w:val="22"/>
          <w:color w:val="auto"/>
        </w:rPr>
      </w:pPr>
    </w:p>
    <w:p>
      <w:pPr>
        <w:jc w:val="both"/>
        <w:ind w:firstLine="1304"/>
        <w:spacing w:after="0" w:line="230" w:lineRule="auto"/>
        <w:tabs>
          <w:tab w:leader="none" w:pos="1937" w:val="left"/>
        </w:tabs>
        <w:numPr>
          <w:ilvl w:val="0"/>
          <w:numId w:val="118"/>
        </w:numPr>
        <w:rPr>
          <w:rFonts w:ascii="Calibri" w:cs="Calibri" w:eastAsia="Calibri" w:hAnsi="Calibri"/>
          <w:sz w:val="22"/>
          <w:szCs w:val="22"/>
          <w:color w:val="auto"/>
        </w:rPr>
      </w:pPr>
      <w:r>
        <w:rPr>
          <w:rFonts w:ascii="Calibri" w:cs="Calibri" w:eastAsia="Calibri" w:hAnsi="Calibri"/>
          <w:sz w:val="22"/>
          <w:szCs w:val="22"/>
          <w:color w:val="auto"/>
        </w:rPr>
        <w:t>Consummaton of a reorganizaton, merger, statutory share exchange or consolidaton or similar corporate transacton involving the Company or any of its subsidiaries, a sale or other dispositon of all or substantally all of the assets of the Company, or the acquisiton of assets or stock of another entty by the Company or any of its subsidiaries (each, a “</w:t>
      </w:r>
      <w:r>
        <w:rPr>
          <w:rFonts w:ascii="Calibri" w:cs="Calibri" w:eastAsia="Calibri" w:hAnsi="Calibri"/>
          <w:sz w:val="22"/>
          <w:szCs w:val="22"/>
          <w:u w:val="single" w:color="auto"/>
          <w:color w:val="auto"/>
        </w:rPr>
        <w:t>Business</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Combinaton</w:t>
      </w:r>
      <w:r>
        <w:rPr>
          <w:rFonts w:ascii="Calibri" w:cs="Calibri" w:eastAsia="Calibri" w:hAnsi="Calibri"/>
          <w:sz w:val="22"/>
          <w:szCs w:val="22"/>
          <w:color w:val="auto"/>
        </w:rPr>
        <w:t>”), in each case unless, following such Business Combinaton, (i) all or substantally all of the individuals and enttes that were the benefcial owners of the Outstanding Company Common Stock and the Outstanding Company Votng Securites immediately prior to such Business Combinaton benefcially own, directly or indirectly, more than 60% of the then-outstanding shares of common stock and the combined votng power 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240"/>
          </w:cols>
          <w:pgMar w:left="320" w:top="1407" w:right="339" w:bottom="1440" w:gutter="0" w:footer="0" w:header="0"/>
        </w:sectPr>
      </w:pPr>
    </w:p>
    <w:bookmarkStart w:id="110" w:name="page111"/>
    <w:bookmarkEnd w:id="110"/>
    <w:p>
      <w:pPr>
        <w:jc w:val="both"/>
        <w:spacing w:after="0" w:line="231" w:lineRule="auto"/>
        <w:rPr>
          <w:sz w:val="20"/>
          <w:szCs w:val="20"/>
          <w:color w:val="auto"/>
        </w:rPr>
      </w:pPr>
      <w:r>
        <w:rPr>
          <w:rFonts w:ascii="Calibri" w:cs="Calibri" w:eastAsia="Calibri" w:hAnsi="Calibri"/>
          <w:sz w:val="22"/>
          <w:szCs w:val="22"/>
          <w:color w:val="auto"/>
        </w:rPr>
        <w:t>the then-outstanding votng securites enttled to vote generally in the electon of directors, as the case may be, of the entty resultng from such Business Combinaton (including, without limitaton, an entty that, as a result of such transacton, owns the Company or all or substantally all of the Company’s assets directly or through one or more subsidiaries (“</w:t>
      </w:r>
      <w:r>
        <w:rPr>
          <w:rFonts w:ascii="Calibri" w:cs="Calibri" w:eastAsia="Calibri" w:hAnsi="Calibri"/>
          <w:sz w:val="22"/>
          <w:szCs w:val="22"/>
          <w:u w:val="single" w:color="auto"/>
          <w:color w:val="auto"/>
        </w:rPr>
        <w:t>Parent</w:t>
      </w:r>
      <w:r>
        <w:rPr>
          <w:rFonts w:ascii="Calibri" w:cs="Calibri" w:eastAsia="Calibri" w:hAnsi="Calibri"/>
          <w:sz w:val="22"/>
          <w:szCs w:val="22"/>
          <w:color w:val="auto"/>
        </w:rPr>
        <w:t>”)) in substantally the same proportons as their ownership immediately prior to such Business Combinaton of the Outstanding Company Common Stock and the Outstanding Company Votng Securites, as the case may be, (ii) no Person (excluding any entty resultng from such Business Combinaton or a Parent or any employee beneft plan (or related trust) of the Company or such entty resultng from such Business Combinaton or Parent) benefcially owns, directly or indirectly, 20% or more of, respectvely, the then-outstanding shares of common stock of the entty resultng from such Business Combinaton or the combined votng power of the then-outstanding votng securites of such entty, except to the extent that the ownership in excess of 20% existed prior to the Business Combinaton, and (iii) at least a majority of the members of the board of directors or trustees of the entty resultng from such Business Combinaton were members of the Incumbent Board at the tme of the executon of the inital agreement or of the acton of the Board providing for such Business Combinaton; or</w:t>
      </w:r>
    </w:p>
    <w:p>
      <w:pPr>
        <w:spacing w:after="0" w:line="219" w:lineRule="exact"/>
        <w:rPr>
          <w:sz w:val="20"/>
          <w:szCs w:val="20"/>
          <w:color w:val="auto"/>
        </w:rPr>
      </w:pPr>
    </w:p>
    <w:p>
      <w:pPr>
        <w:ind w:left="660" w:right="340" w:firstLine="644"/>
        <w:spacing w:after="0" w:line="412" w:lineRule="auto"/>
        <w:tabs>
          <w:tab w:leader="none" w:pos="1944" w:val="left"/>
        </w:tabs>
        <w:numPr>
          <w:ilvl w:val="0"/>
          <w:numId w:val="119"/>
        </w:numPr>
        <w:rPr>
          <w:rFonts w:ascii="Calibri" w:cs="Calibri" w:eastAsia="Calibri" w:hAnsi="Calibri"/>
          <w:sz w:val="22"/>
          <w:szCs w:val="22"/>
          <w:color w:val="auto"/>
        </w:rPr>
      </w:pPr>
      <w:r>
        <w:rPr>
          <w:rFonts w:ascii="Calibri" w:cs="Calibri" w:eastAsia="Calibri" w:hAnsi="Calibri"/>
          <w:sz w:val="22"/>
          <w:szCs w:val="22"/>
          <w:color w:val="auto"/>
        </w:rPr>
        <w:t>Approval by the stockholders of the Company of a complete liquidaton or dissoluton of the Company. “</w:t>
      </w:r>
      <w:r>
        <w:rPr>
          <w:rFonts w:ascii="Calibri" w:cs="Calibri" w:eastAsia="Calibri" w:hAnsi="Calibri"/>
          <w:sz w:val="22"/>
          <w:szCs w:val="22"/>
          <w:u w:val="single" w:color="auto"/>
          <w:color w:val="auto"/>
        </w:rPr>
        <w:t>Code</w:t>
      </w:r>
      <w:r>
        <w:rPr>
          <w:rFonts w:ascii="Calibri" w:cs="Calibri" w:eastAsia="Calibri" w:hAnsi="Calibri"/>
          <w:sz w:val="22"/>
          <w:szCs w:val="22"/>
          <w:color w:val="auto"/>
        </w:rPr>
        <w:t>” means the Internal Revenue Code of 1986, as amended.</w:t>
      </w:r>
    </w:p>
    <w:p>
      <w:pPr>
        <w:spacing w:after="0" w:line="36"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Common Stock</w:t>
      </w:r>
      <w:r>
        <w:rPr>
          <w:rFonts w:ascii="Calibri" w:cs="Calibri" w:eastAsia="Calibri" w:hAnsi="Calibri"/>
          <w:sz w:val="22"/>
          <w:szCs w:val="22"/>
          <w:color w:val="auto"/>
        </w:rPr>
        <w:t>” means shares of the Company’s common stock, par value $0.01 per share, either currently existng or authorized hereafer.</w:t>
      </w:r>
    </w:p>
    <w:p>
      <w:pPr>
        <w:spacing w:after="0" w:line="217" w:lineRule="exact"/>
        <w:rPr>
          <w:sz w:val="20"/>
          <w:szCs w:val="20"/>
          <w:color w:val="auto"/>
        </w:rPr>
      </w:pPr>
    </w:p>
    <w:p>
      <w:pPr>
        <w:jc w:val="both"/>
        <w:ind w:firstLine="648"/>
        <w:spacing w:after="0" w:line="230"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Compettve Actvites</w:t>
      </w:r>
      <w:r>
        <w:rPr>
          <w:rFonts w:ascii="Calibri" w:cs="Calibri" w:eastAsia="Calibri" w:hAnsi="Calibri"/>
          <w:sz w:val="22"/>
          <w:szCs w:val="22"/>
          <w:color w:val="auto"/>
        </w:rPr>
        <w:t>” means that the Grantee, directly or indirectly, whether as owner, partner, shareholder, consultant, agent, employee, co-venturer or otherwise, engages, partcipates, assists or invests in any Competng Business (as hereinafer defned). The term “</w:t>
      </w:r>
      <w:r>
        <w:rPr>
          <w:rFonts w:ascii="Calibri" w:cs="Calibri" w:eastAsia="Calibri" w:hAnsi="Calibri"/>
          <w:sz w:val="22"/>
          <w:szCs w:val="22"/>
          <w:u w:val="single" w:color="auto"/>
          <w:color w:val="auto"/>
        </w:rPr>
        <w:t>Competng Business</w:t>
      </w:r>
      <w:r>
        <w:rPr>
          <w:rFonts w:ascii="Calibri" w:cs="Calibri" w:eastAsia="Calibri" w:hAnsi="Calibri"/>
          <w:sz w:val="22"/>
          <w:szCs w:val="22"/>
          <w:color w:val="auto"/>
        </w:rPr>
        <w:t>” shall mean a publicly traded real estate investment trust that is identfed by the Natonal Associaton of Real Estate Investment Trusts (“</w:t>
      </w:r>
      <w:r>
        <w:rPr>
          <w:rFonts w:ascii="Calibri" w:cs="Calibri" w:eastAsia="Calibri" w:hAnsi="Calibri"/>
          <w:sz w:val="22"/>
          <w:szCs w:val="22"/>
          <w:u w:val="single" w:color="auto"/>
          <w:color w:val="auto"/>
        </w:rPr>
        <w:t>Nareit</w:t>
      </w:r>
      <w:r>
        <w:rPr>
          <w:rFonts w:ascii="Calibri" w:cs="Calibri" w:eastAsia="Calibri" w:hAnsi="Calibri"/>
          <w:sz w:val="22"/>
          <w:szCs w:val="22"/>
          <w:color w:val="auto"/>
        </w:rPr>
        <w:t>”) as a “mall REIT” or “shopping center REIT” (other than the Company or a surviving or resultng entty upon a Change of Control, or any of their respectve afliates). Notwithstanding the foregoing, the Grantee may own equity securites of an entty which consttutes, or is afliated with, a Competng Business, so long at their value does not exceed two percent (2%) of the aggregate equity market capitalizaton of the Competng Business.</w:t>
      </w:r>
    </w:p>
    <w:p>
      <w:pPr>
        <w:spacing w:after="0" w:line="236"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Contnuous Service</w:t>
      </w:r>
      <w:r>
        <w:rPr>
          <w:rFonts w:ascii="Calibri" w:cs="Calibri" w:eastAsia="Calibri" w:hAnsi="Calibri"/>
          <w:sz w:val="22"/>
          <w:szCs w:val="22"/>
          <w:color w:val="auto"/>
        </w:rPr>
        <w:t>” means the contnuous service to the Company or any Subsidiary or afliate, without interrupton or terminaton. Contnuous Service shall not be considered interrupted in the case of (A) any approved leave of absence,</w:t>
      </w:r>
    </w:p>
    <w:p>
      <w:pPr>
        <w:spacing w:after="0" w:line="2" w:lineRule="exact"/>
        <w:rPr>
          <w:sz w:val="20"/>
          <w:szCs w:val="20"/>
          <w:color w:val="auto"/>
        </w:rPr>
      </w:pPr>
    </w:p>
    <w:p>
      <w:pPr>
        <w:jc w:val="both"/>
        <w:ind w:firstLine="8"/>
        <w:spacing w:after="0" w:line="231" w:lineRule="auto"/>
        <w:tabs>
          <w:tab w:leader="none" w:pos="324" w:val="left"/>
        </w:tabs>
        <w:numPr>
          <w:ilvl w:val="0"/>
          <w:numId w:val="120"/>
        </w:numPr>
        <w:rPr>
          <w:rFonts w:ascii="Calibri" w:cs="Calibri" w:eastAsia="Calibri" w:hAnsi="Calibri"/>
          <w:sz w:val="22"/>
          <w:szCs w:val="22"/>
          <w:color w:val="auto"/>
        </w:rPr>
      </w:pPr>
      <w:r>
        <w:rPr>
          <w:rFonts w:ascii="Calibri" w:cs="Calibri" w:eastAsia="Calibri" w:hAnsi="Calibri"/>
          <w:sz w:val="22"/>
          <w:szCs w:val="22"/>
          <w:color w:val="auto"/>
        </w:rPr>
        <w:t>transfers among the Company and any Subsidiary or afliate, or any successor, in any capacity of employee, or with the writen consent of the Commitee, consultant, or (C) any change in status as long as the individual remains in the service of the Company and any Subsidiary or afliate in any capacity of employee, member of the Board or (if the Company specifcally agrees in writng that the Contnuous Service is not uninterrupted) a consultant. An approved leave of absence shall include sick leave, military leave, or any other authorized personal leave.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w:t>
      </w:r>
    </w:p>
    <w:p>
      <w:pPr>
        <w:sectPr>
          <w:pgSz w:w="11900" w:h="16838" w:orient="portrait"/>
          <w:cols w:equalWidth="0" w:num="1">
            <w:col w:w="11240"/>
          </w:cols>
          <w:pgMar w:left="320" w:top="1407" w:right="339" w:bottom="1440" w:gutter="0" w:footer="0" w:header="0"/>
        </w:sectPr>
      </w:pPr>
    </w:p>
    <w:bookmarkStart w:id="111" w:name="page112"/>
    <w:bookmarkEnd w:id="111"/>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Disability</w:t>
      </w:r>
      <w:r>
        <w:rPr>
          <w:rFonts w:ascii="Calibri" w:cs="Calibri" w:eastAsia="Calibri" w:hAnsi="Calibri"/>
          <w:sz w:val="22"/>
          <w:szCs w:val="22"/>
          <w:color w:val="auto"/>
        </w:rPr>
        <w:t>” means a “disability”, as determined under the Company’s long-term disability plan in efect on the date of terminaton, enttling the Grantee to benefts under such long-term disability plan.</w:t>
      </w:r>
    </w:p>
    <w:p>
      <w:pPr>
        <w:spacing w:after="0" w:line="206"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Efectve Date</w:t>
      </w:r>
      <w:r>
        <w:rPr>
          <w:rFonts w:ascii="Calibri" w:cs="Calibri" w:eastAsia="Calibri" w:hAnsi="Calibri"/>
          <w:sz w:val="22"/>
          <w:szCs w:val="22"/>
          <w:color w:val="auto"/>
        </w:rPr>
        <w:t>” means March 1, 2024.</w:t>
      </w:r>
    </w:p>
    <w:p>
      <w:pPr>
        <w:spacing w:after="0" w:line="217"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Exchange Act</w:t>
      </w:r>
      <w:r>
        <w:rPr>
          <w:rFonts w:ascii="Calibri" w:cs="Calibri" w:eastAsia="Calibri" w:hAnsi="Calibri"/>
          <w:sz w:val="22"/>
          <w:szCs w:val="22"/>
          <w:color w:val="auto"/>
        </w:rPr>
        <w:t>” means the Securites Exchange Act of 1934, as amended.</w:t>
      </w:r>
    </w:p>
    <w:p>
      <w:pPr>
        <w:spacing w:after="0" w:line="215" w:lineRule="exact"/>
        <w:rPr>
          <w:sz w:val="20"/>
          <w:szCs w:val="20"/>
          <w:color w:val="auto"/>
        </w:rPr>
      </w:pPr>
    </w:p>
    <w:p>
      <w:pPr>
        <w:jc w:val="both"/>
        <w:ind w:right="20"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Good Reason</w:t>
      </w:r>
      <w:r>
        <w:rPr>
          <w:rFonts w:ascii="Calibri" w:cs="Calibri" w:eastAsia="Calibri" w:hAnsi="Calibri"/>
          <w:sz w:val="22"/>
          <w:szCs w:val="22"/>
          <w:color w:val="auto"/>
        </w:rPr>
        <w:t>” means “Good Reason” as defned in the Severance Arrangement, as modifed pursuant to the terms and conditons of Grantee’s Service Agreement.</w:t>
      </w:r>
    </w:p>
    <w:p>
      <w:pPr>
        <w:spacing w:after="0" w:line="217"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LTIP Units</w:t>
      </w:r>
      <w:r>
        <w:rPr>
          <w:rFonts w:ascii="Calibri" w:cs="Calibri" w:eastAsia="Calibri" w:hAnsi="Calibri"/>
          <w:sz w:val="22"/>
          <w:szCs w:val="22"/>
          <w:color w:val="auto"/>
        </w:rPr>
        <w:t>” means units of limited partnership interest of the Partnership designated as “LTIP Units” in the Partnership Agreement awarded pursuant to this Agreement under the LTIP having the rights, votng powers, restrictons, limitatons as to distributons, qualifcatons and terms and conditons of redempton set forth in the Partnership Agreement.</w:t>
      </w:r>
    </w:p>
    <w:p>
      <w:pPr>
        <w:spacing w:after="0" w:line="217"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Partnership Agreement</w:t>
      </w:r>
      <w:r>
        <w:rPr>
          <w:rFonts w:ascii="Calibri" w:cs="Calibri" w:eastAsia="Calibri" w:hAnsi="Calibri"/>
          <w:sz w:val="22"/>
          <w:szCs w:val="22"/>
          <w:color w:val="auto"/>
        </w:rPr>
        <w:t>” means the Amended and Restated Limited Partnership Agreement of the Partnership, dated as of March 16, 1994, among the Company, as general partner, and the limited partners who are partes thereto, as amended from tme to tme.</w:t>
      </w:r>
    </w:p>
    <w:p>
      <w:pPr>
        <w:spacing w:after="0" w:line="217"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Person</w:t>
      </w:r>
      <w:r>
        <w:rPr>
          <w:rFonts w:ascii="Calibri" w:cs="Calibri" w:eastAsia="Calibri" w:hAnsi="Calibri"/>
          <w:sz w:val="22"/>
          <w:szCs w:val="22"/>
          <w:color w:val="auto"/>
        </w:rPr>
        <w:t>” means an individual, corporaton, partnership, limited liability company, joint venture, associaton, trust, unincorporated organizaton, other entty or “group” (as defned in the Exchange Act).</w:t>
      </w:r>
    </w:p>
    <w:p>
      <w:pPr>
        <w:spacing w:after="0" w:line="230" w:lineRule="exact"/>
        <w:rPr>
          <w:sz w:val="20"/>
          <w:szCs w:val="20"/>
          <w:color w:val="auto"/>
        </w:rPr>
      </w:pPr>
    </w:p>
    <w:p>
      <w:pPr>
        <w:jc w:val="both"/>
        <w:ind w:right="20"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Qualifed Terminaton</w:t>
      </w:r>
      <w:r>
        <w:rPr>
          <w:rFonts w:ascii="Calibri" w:cs="Calibri" w:eastAsia="Calibri" w:hAnsi="Calibri"/>
          <w:sz w:val="22"/>
          <w:szCs w:val="22"/>
          <w:color w:val="auto"/>
        </w:rPr>
        <w:t>” means a terminaton of the Grantee’s employment (A) by the Company for no reason, or for any reason (other than for Cause, death or Disability) or, (B) by the Grantee for Good Reason.</w:t>
      </w:r>
    </w:p>
    <w:p>
      <w:pPr>
        <w:spacing w:after="0" w:line="206"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Restricted Period</w:t>
      </w:r>
      <w:r>
        <w:rPr>
          <w:rFonts w:ascii="Calibri" w:cs="Calibri" w:eastAsia="Calibri" w:hAnsi="Calibri"/>
          <w:sz w:val="22"/>
          <w:szCs w:val="22"/>
          <w:color w:val="auto"/>
        </w:rPr>
        <w:t>” means January 1, 2024, through December 31, 2026.</w:t>
      </w:r>
    </w:p>
    <w:p>
      <w:pPr>
        <w:spacing w:after="0" w:line="215" w:lineRule="exact"/>
        <w:rPr>
          <w:sz w:val="20"/>
          <w:szCs w:val="20"/>
          <w:color w:val="auto"/>
        </w:rPr>
      </w:pPr>
    </w:p>
    <w:p>
      <w:pPr>
        <w:jc w:val="both"/>
        <w:ind w:right="20" w:firstLine="648"/>
        <w:spacing w:after="0" w:line="239" w:lineRule="auto"/>
        <w:rPr>
          <w:sz w:val="20"/>
          <w:szCs w:val="20"/>
          <w:color w:val="auto"/>
        </w:rPr>
      </w:pPr>
      <w:r>
        <w:rPr>
          <w:rFonts w:ascii="Calibri" w:cs="Calibri" w:eastAsia="Calibri" w:hAnsi="Calibri"/>
          <w:sz w:val="21"/>
          <w:szCs w:val="21"/>
          <w:color w:val="auto"/>
        </w:rPr>
        <w:t>“</w:t>
      </w:r>
      <w:r>
        <w:rPr>
          <w:rFonts w:ascii="Calibri" w:cs="Calibri" w:eastAsia="Calibri" w:hAnsi="Calibri"/>
          <w:sz w:val="21"/>
          <w:szCs w:val="21"/>
          <w:u w:val="single" w:color="auto"/>
          <w:color w:val="auto"/>
        </w:rPr>
        <w:t>Retrement</w:t>
      </w:r>
      <w:r>
        <w:rPr>
          <w:rFonts w:ascii="Calibri" w:cs="Calibri" w:eastAsia="Calibri" w:hAnsi="Calibri"/>
          <w:sz w:val="21"/>
          <w:szCs w:val="21"/>
          <w:color w:val="auto"/>
        </w:rPr>
        <w:t xml:space="preserve">” means Grantee’s voluntary terminaton of employment with the Company and its Subsidiaries on or afer the atainment of age 55 and completon of ten (10) years of employment with the Company and/or a Subsidiary,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that</w:t>
      </w:r>
    </w:p>
    <w:p>
      <w:pPr>
        <w:spacing w:after="0" w:line="16" w:lineRule="exact"/>
        <w:rPr>
          <w:sz w:val="20"/>
          <w:szCs w:val="20"/>
          <w:color w:val="auto"/>
        </w:rPr>
      </w:pPr>
    </w:p>
    <w:p>
      <w:pPr>
        <w:jc w:val="both"/>
        <w:ind w:firstLine="8"/>
        <w:spacing w:after="0" w:line="229" w:lineRule="auto"/>
        <w:tabs>
          <w:tab w:leader="none" w:pos="313" w:val="left"/>
        </w:tabs>
        <w:numPr>
          <w:ilvl w:val="0"/>
          <w:numId w:val="121"/>
        </w:numPr>
        <w:rPr>
          <w:rFonts w:ascii="Calibri" w:cs="Calibri" w:eastAsia="Calibri" w:hAnsi="Calibri"/>
          <w:sz w:val="22"/>
          <w:szCs w:val="22"/>
          <w:color w:val="auto"/>
        </w:rPr>
      </w:pPr>
      <w:r>
        <w:rPr>
          <w:rFonts w:ascii="Calibri" w:cs="Calibri" w:eastAsia="Calibri" w:hAnsi="Calibri"/>
          <w:sz w:val="22"/>
          <w:szCs w:val="22"/>
          <w:color w:val="auto"/>
        </w:rPr>
        <w:t>the Grantee has provided notce of at least six (6) months prior to the efectve date of the Grantee’s retrement and (2) following Retrement the Grantee does not engage in Compettve Actvites during the balance of the Restricted Period. For purposes of the foregoing, Grantee shall be provided with years of service creditng in accordance with Grantee’s Service Agreement.</w:t>
      </w:r>
    </w:p>
    <w:p>
      <w:pPr>
        <w:spacing w:after="0" w:line="206"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Service Agreement</w:t>
      </w:r>
      <w:r>
        <w:rPr>
          <w:rFonts w:ascii="Calibri" w:cs="Calibri" w:eastAsia="Calibri" w:hAnsi="Calibri"/>
          <w:sz w:val="22"/>
          <w:szCs w:val="22"/>
          <w:color w:val="auto"/>
        </w:rPr>
        <w:t>” means Grantee’s Employment Agreement with the Company dated as of February 1, 2024.</w:t>
      </w:r>
    </w:p>
    <w:p>
      <w:pPr>
        <w:spacing w:after="0" w:line="228" w:lineRule="exact"/>
        <w:rPr>
          <w:sz w:val="20"/>
          <w:szCs w:val="20"/>
          <w:color w:val="auto"/>
        </w:rPr>
      </w:pPr>
    </w:p>
    <w:p>
      <w:pPr>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Severance Arrangement</w:t>
      </w:r>
      <w:r>
        <w:rPr>
          <w:rFonts w:ascii="Calibri" w:cs="Calibri" w:eastAsia="Calibri" w:hAnsi="Calibri"/>
          <w:sz w:val="22"/>
          <w:szCs w:val="22"/>
          <w:color w:val="auto"/>
        </w:rPr>
        <w:t>” means The Macerich Company Amended and Restated Severance Pay Plan, as in efect on the Efectve Date.</w:t>
      </w:r>
    </w:p>
    <w:p>
      <w:pPr>
        <w:spacing w:after="0" w:line="217" w:lineRule="exact"/>
        <w:rPr>
          <w:sz w:val="20"/>
          <w:szCs w:val="20"/>
          <w:color w:val="auto"/>
        </w:rPr>
      </w:pPr>
    </w:p>
    <w:p>
      <w:pPr>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Units</w:t>
      </w:r>
      <w:r>
        <w:rPr>
          <w:rFonts w:ascii="Calibri" w:cs="Calibri" w:eastAsia="Calibri" w:hAnsi="Calibri"/>
          <w:sz w:val="22"/>
          <w:szCs w:val="22"/>
          <w:color w:val="auto"/>
        </w:rPr>
        <w:t>” means Partnership Units (as defned in the Partnership Agreement) that are outstanding or are issuable upon the conversion, exercise, exchange or redempton of 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w:t>
      </w:r>
    </w:p>
    <w:p>
      <w:pPr>
        <w:sectPr>
          <w:pgSz w:w="11900" w:h="16838" w:orient="portrait"/>
          <w:cols w:equalWidth="0" w:num="1">
            <w:col w:w="11240"/>
          </w:cols>
          <w:pgMar w:left="320" w:top="1407" w:right="339" w:bottom="1440" w:gutter="0" w:footer="0" w:header="0"/>
        </w:sectPr>
      </w:pPr>
    </w:p>
    <w:bookmarkStart w:id="112" w:name="page113"/>
    <w:bookmarkEnd w:id="112"/>
    <w:p>
      <w:pPr>
        <w:spacing w:after="0"/>
        <w:rPr>
          <w:sz w:val="20"/>
          <w:szCs w:val="20"/>
          <w:color w:val="auto"/>
        </w:rPr>
      </w:pPr>
      <w:r>
        <w:rPr>
          <w:rFonts w:ascii="Calibri" w:cs="Calibri" w:eastAsia="Calibri" w:hAnsi="Calibri"/>
          <w:sz w:val="22"/>
          <w:szCs w:val="22"/>
          <w:color w:val="auto"/>
        </w:rPr>
        <w:t>securites of any kind convertble, exercisable, exchangeable or redeemable for Partnership Units.</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Vestng Date</w:t>
      </w:r>
      <w:r>
        <w:rPr>
          <w:rFonts w:ascii="Calibri" w:cs="Calibri" w:eastAsia="Calibri" w:hAnsi="Calibri"/>
          <w:sz w:val="22"/>
          <w:szCs w:val="22"/>
          <w:color w:val="auto"/>
        </w:rPr>
        <w:t>” means each of the vestng dates set forth in Secton 4.</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Vestng Schedule</w:t>
      </w:r>
      <w:r>
        <w:rPr>
          <w:rFonts w:ascii="Calibri" w:cs="Calibri" w:eastAsia="Calibri" w:hAnsi="Calibri"/>
          <w:sz w:val="22"/>
          <w:szCs w:val="22"/>
          <w:color w:val="auto"/>
        </w:rPr>
        <w:t>” means the vestng schedule set forth in Secton 4.</w:t>
      </w:r>
    </w:p>
    <w:p>
      <w:pPr>
        <w:spacing w:after="0" w:line="217" w:lineRule="exact"/>
        <w:rPr>
          <w:sz w:val="20"/>
          <w:szCs w:val="20"/>
          <w:color w:val="auto"/>
        </w:rPr>
      </w:pPr>
    </w:p>
    <w:p>
      <w:pPr>
        <w:ind w:left="1300" w:hanging="644"/>
        <w:spacing w:after="0"/>
        <w:tabs>
          <w:tab w:leader="none" w:pos="1300" w:val="left"/>
        </w:tabs>
        <w:numPr>
          <w:ilvl w:val="1"/>
          <w:numId w:val="122"/>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Award of 2024 LTIP Units (SB)</w:t>
      </w:r>
      <w:r>
        <w:rPr>
          <w:rFonts w:ascii="Calibri" w:cs="Calibri" w:eastAsia="Calibri" w:hAnsi="Calibri"/>
          <w:sz w:val="22"/>
          <w:szCs w:val="22"/>
          <w:b w:val="1"/>
          <w:bCs w:val="1"/>
          <w:color w:val="auto"/>
        </w:rPr>
        <w:t>.</w:t>
      </w:r>
    </w:p>
    <w:p>
      <w:pPr>
        <w:spacing w:after="0" w:line="214" w:lineRule="exact"/>
        <w:rPr>
          <w:rFonts w:ascii="Calibri" w:cs="Calibri" w:eastAsia="Calibri" w:hAnsi="Calibri"/>
          <w:sz w:val="22"/>
          <w:szCs w:val="22"/>
          <w:color w:val="auto"/>
        </w:rPr>
      </w:pPr>
    </w:p>
    <w:p>
      <w:pPr>
        <w:jc w:val="both"/>
        <w:ind w:firstLine="1304"/>
        <w:spacing w:after="0" w:line="229" w:lineRule="auto"/>
        <w:tabs>
          <w:tab w:leader="none" w:pos="1935" w:val="left"/>
        </w:tabs>
        <w:numPr>
          <w:ilvl w:val="2"/>
          <w:numId w:val="122"/>
        </w:numPr>
        <w:rPr>
          <w:rFonts w:ascii="Calibri" w:cs="Calibri" w:eastAsia="Calibri" w:hAnsi="Calibri"/>
          <w:sz w:val="22"/>
          <w:szCs w:val="22"/>
          <w:color w:val="auto"/>
        </w:rPr>
      </w:pPr>
      <w:r>
        <w:rPr>
          <w:rFonts w:ascii="Calibri" w:cs="Calibri" w:eastAsia="Calibri" w:hAnsi="Calibri"/>
          <w:sz w:val="22"/>
          <w:szCs w:val="22"/>
          <w:color w:val="auto"/>
        </w:rPr>
        <w:t xml:space="preserve">On the terms and conditons set forth in this Agreement, as well as the terms and conditons of the Stock Plan, the Grantee is hereby granted this Award consistng of the number of 2024 LTIP Units (SB) set forth on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opposite “2024 LTIP Units (SB)”, which is incorporated herein by reference (the “</w:t>
      </w:r>
      <w:r>
        <w:rPr>
          <w:rFonts w:ascii="Calibri" w:cs="Calibri" w:eastAsia="Calibri" w:hAnsi="Calibri"/>
          <w:sz w:val="22"/>
          <w:szCs w:val="22"/>
          <w:u w:val="single" w:color="auto"/>
          <w:color w:val="auto"/>
        </w:rPr>
        <w:t>2024 LTIP Units (SB)</w:t>
      </w:r>
      <w:r>
        <w:rPr>
          <w:rFonts w:ascii="Calibri" w:cs="Calibri" w:eastAsia="Calibri" w:hAnsi="Calibri"/>
          <w:sz w:val="22"/>
          <w:szCs w:val="22"/>
          <w:color w:val="auto"/>
        </w:rPr>
        <w:t>”).</w:t>
      </w:r>
    </w:p>
    <w:p>
      <w:pPr>
        <w:spacing w:after="0" w:line="216" w:lineRule="exact"/>
        <w:rPr>
          <w:rFonts w:ascii="Calibri" w:cs="Calibri" w:eastAsia="Calibri" w:hAnsi="Calibri"/>
          <w:sz w:val="22"/>
          <w:szCs w:val="22"/>
          <w:color w:val="auto"/>
        </w:rPr>
      </w:pPr>
    </w:p>
    <w:p>
      <w:pPr>
        <w:jc w:val="both"/>
        <w:ind w:firstLine="1304"/>
        <w:spacing w:after="0" w:line="233" w:lineRule="auto"/>
        <w:tabs>
          <w:tab w:leader="none" w:pos="1932" w:val="left"/>
        </w:tabs>
        <w:numPr>
          <w:ilvl w:val="2"/>
          <w:numId w:val="122"/>
        </w:numPr>
        <w:rPr>
          <w:rFonts w:ascii="Calibri" w:cs="Calibri" w:eastAsia="Calibri" w:hAnsi="Calibri"/>
          <w:sz w:val="22"/>
          <w:szCs w:val="22"/>
          <w:color w:val="auto"/>
        </w:rPr>
      </w:pPr>
      <w:r>
        <w:rPr>
          <w:rFonts w:ascii="Calibri" w:cs="Calibri" w:eastAsia="Calibri" w:hAnsi="Calibri"/>
          <w:sz w:val="22"/>
          <w:szCs w:val="22"/>
          <w:color w:val="auto"/>
        </w:rPr>
        <w:t>2024 LTIP Units (SB) shall consttute and be treated as the property of the Grantee as of the applicable grant date, subject to the terms of this Agreement and the Partnership Agreement. Every grant of 2024 LTIP Units (SB) to the Grantee pursuant to this Award shall be set forth in minutes of the meetngs of the Board. 2024 LTIP Units (SB) will be:</w:t>
      </w:r>
    </w:p>
    <w:p>
      <w:pPr>
        <w:ind w:firstLine="8"/>
        <w:spacing w:after="0" w:line="229" w:lineRule="auto"/>
        <w:tabs>
          <w:tab w:leader="none" w:pos="316" w:val="left"/>
        </w:tabs>
        <w:numPr>
          <w:ilvl w:val="0"/>
          <w:numId w:val="123"/>
        </w:numPr>
        <w:rPr>
          <w:rFonts w:ascii="Calibri" w:cs="Calibri" w:eastAsia="Calibri" w:hAnsi="Calibri"/>
          <w:sz w:val="22"/>
          <w:szCs w:val="22"/>
          <w:color w:val="auto"/>
        </w:rPr>
      </w:pPr>
      <w:r>
        <w:rPr>
          <w:rFonts w:ascii="Calibri" w:cs="Calibri" w:eastAsia="Calibri" w:hAnsi="Calibri"/>
          <w:sz w:val="22"/>
          <w:szCs w:val="22"/>
          <w:color w:val="auto"/>
        </w:rPr>
        <w:t xml:space="preserve">subject to vestng and/or forfeiture to the extent provided in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hereof; and (B) subject to restrictons on transfer as provided in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hereof.</w:t>
      </w:r>
    </w:p>
    <w:p>
      <w:pPr>
        <w:spacing w:after="0" w:line="205" w:lineRule="exact"/>
        <w:rPr>
          <w:rFonts w:ascii="Calibri" w:cs="Calibri" w:eastAsia="Calibri" w:hAnsi="Calibri"/>
          <w:sz w:val="22"/>
          <w:szCs w:val="22"/>
          <w:color w:val="auto"/>
        </w:rPr>
      </w:pPr>
    </w:p>
    <w:p>
      <w:pPr>
        <w:ind w:left="1300" w:hanging="644"/>
        <w:spacing w:after="0"/>
        <w:tabs>
          <w:tab w:leader="none" w:pos="1300" w:val="left"/>
        </w:tabs>
        <w:numPr>
          <w:ilvl w:val="1"/>
          <w:numId w:val="123"/>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Vestng of 2024 LTIP Units (SB).</w:t>
      </w:r>
    </w:p>
    <w:p>
      <w:pPr>
        <w:spacing w:after="0" w:line="214" w:lineRule="exact"/>
        <w:rPr>
          <w:rFonts w:ascii="Calibri" w:cs="Calibri" w:eastAsia="Calibri" w:hAnsi="Calibri"/>
          <w:sz w:val="22"/>
          <w:szCs w:val="22"/>
          <w:color w:val="auto"/>
        </w:rPr>
      </w:pPr>
    </w:p>
    <w:p>
      <w:pPr>
        <w:jc w:val="both"/>
        <w:ind w:firstLine="1304"/>
        <w:spacing w:after="0" w:line="233" w:lineRule="auto"/>
        <w:tabs>
          <w:tab w:leader="none" w:pos="1935" w:val="left"/>
        </w:tabs>
        <w:numPr>
          <w:ilvl w:val="2"/>
          <w:numId w:val="123"/>
        </w:numPr>
        <w:rPr>
          <w:rFonts w:ascii="Calibri" w:cs="Calibri" w:eastAsia="Calibri" w:hAnsi="Calibri"/>
          <w:sz w:val="22"/>
          <w:szCs w:val="22"/>
          <w:color w:val="auto"/>
        </w:rPr>
      </w:pPr>
      <w:r>
        <w:rPr>
          <w:rFonts w:ascii="Calibri" w:cs="Calibri" w:eastAsia="Calibri" w:hAnsi="Calibri"/>
          <w:sz w:val="22"/>
          <w:szCs w:val="22"/>
          <w:color w:val="auto"/>
        </w:rPr>
        <w:t xml:space="preserve">Except as otherwise provided in this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hereof and/or the Stock Plan, the 2024 LTIP Units (SB) shall become vested in the amounts provided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the Contnuous Service of the Grantee contnues through and on the relevant Vestng Date.</w:t>
      </w:r>
    </w:p>
    <w:p>
      <w:pPr>
        <w:spacing w:after="0" w:line="216" w:lineRule="exact"/>
        <w:rPr>
          <w:rFonts w:ascii="Calibri" w:cs="Calibri" w:eastAsia="Calibri" w:hAnsi="Calibri"/>
          <w:sz w:val="22"/>
          <w:szCs w:val="22"/>
          <w:color w:val="auto"/>
        </w:rPr>
      </w:pPr>
    </w:p>
    <w:p>
      <w:pPr>
        <w:jc w:val="both"/>
        <w:ind w:firstLine="1304"/>
        <w:spacing w:after="0" w:line="231" w:lineRule="auto"/>
        <w:tabs>
          <w:tab w:leader="none" w:pos="1932" w:val="left"/>
        </w:tabs>
        <w:numPr>
          <w:ilvl w:val="2"/>
          <w:numId w:val="123"/>
        </w:numPr>
        <w:rPr>
          <w:rFonts w:ascii="Calibri" w:cs="Calibri" w:eastAsia="Calibri" w:hAnsi="Calibri"/>
          <w:sz w:val="22"/>
          <w:szCs w:val="22"/>
          <w:color w:val="auto"/>
        </w:rPr>
      </w:pPr>
      <w:r>
        <w:rPr>
          <w:rFonts w:ascii="Calibri" w:cs="Calibri" w:eastAsia="Calibri" w:hAnsi="Calibri"/>
          <w:sz w:val="22"/>
          <w:szCs w:val="22"/>
          <w:color w:val="auto"/>
        </w:rPr>
        <w:t xml:space="preserve">The Grantee agrees to provide Contnuous Service to the Company in consideraton for the conditonal rights to the unvested 2024 LTIP Units (SB). Except as otherwise provided in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or pursuant to the Stock Plan, the Vestng Schedule provided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requires Contnuous Service through each applicable Vestng Date as a conditon to the vestng of the applicable installment and rights and benefts under this Agreement. Partal service, even if substantal, during any vestng period will not enttle the Grantee to any proportonate vestng or avoid or mitgate a terminaton of rights and benefts upon or following a terminaton of employment or service except as provided in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below or under the Stock Plan.</w:t>
      </w:r>
    </w:p>
    <w:p>
      <w:pPr>
        <w:spacing w:after="0" w:line="215" w:lineRule="exact"/>
        <w:rPr>
          <w:rFonts w:ascii="Calibri" w:cs="Calibri" w:eastAsia="Calibri" w:hAnsi="Calibri"/>
          <w:sz w:val="22"/>
          <w:szCs w:val="22"/>
          <w:color w:val="auto"/>
        </w:rPr>
      </w:pPr>
    </w:p>
    <w:p>
      <w:pPr>
        <w:jc w:val="both"/>
        <w:ind w:firstLine="1304"/>
        <w:spacing w:after="0" w:line="232" w:lineRule="auto"/>
        <w:tabs>
          <w:tab w:leader="none" w:pos="1937" w:val="left"/>
        </w:tabs>
        <w:numPr>
          <w:ilvl w:val="2"/>
          <w:numId w:val="123"/>
        </w:numPr>
        <w:rPr>
          <w:rFonts w:ascii="Calibri" w:cs="Calibri" w:eastAsia="Calibri" w:hAnsi="Calibri"/>
          <w:sz w:val="22"/>
          <w:szCs w:val="22"/>
          <w:color w:val="auto"/>
        </w:rPr>
      </w:pPr>
      <w:r>
        <w:rPr>
          <w:rFonts w:ascii="Calibri" w:cs="Calibri" w:eastAsia="Calibri" w:hAnsi="Calibri"/>
          <w:sz w:val="22"/>
          <w:szCs w:val="22"/>
          <w:color w:val="auto"/>
        </w:rPr>
        <w:t xml:space="preserve">Any 2024 LTIP Units (SB) that do not become vested pursuant to this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below shall, without payment of any consideraton by the Partnership, automatcally and without notce terminate, be forfeited and be and become null and void, and neither the Grantee nor any of his or her successors, heirs, assigns, or personal representatves will thereafer have any further rights or interests in such unvested 2024 LTIP Units (SB).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w:t>
      </w:r>
    </w:p>
    <w:p>
      <w:pPr>
        <w:sectPr>
          <w:pgSz w:w="11900" w:h="16838" w:orient="portrait"/>
          <w:cols w:equalWidth="0" w:num="1">
            <w:col w:w="11240"/>
          </w:cols>
          <w:pgMar w:left="320" w:top="1396" w:right="339" w:bottom="1440" w:gutter="0" w:footer="0" w:header="0"/>
        </w:sectPr>
      </w:pPr>
    </w:p>
    <w:bookmarkStart w:id="113" w:name="page114"/>
    <w:bookmarkEnd w:id="113"/>
    <w:p>
      <w:pPr>
        <w:ind w:left="1300" w:hanging="644"/>
        <w:spacing w:after="0"/>
        <w:tabs>
          <w:tab w:leader="none" w:pos="1300" w:val="left"/>
        </w:tabs>
        <w:numPr>
          <w:ilvl w:val="0"/>
          <w:numId w:val="124"/>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Change of Control or Terminaton of Grantee’s Service Relatonship.</w:t>
      </w:r>
    </w:p>
    <w:p>
      <w:pPr>
        <w:spacing w:after="0" w:line="214" w:lineRule="exact"/>
        <w:rPr>
          <w:rFonts w:ascii="Calibri" w:cs="Calibri" w:eastAsia="Calibri" w:hAnsi="Calibri"/>
          <w:sz w:val="22"/>
          <w:szCs w:val="22"/>
          <w:color w:val="auto"/>
        </w:rPr>
      </w:pPr>
    </w:p>
    <w:p>
      <w:pPr>
        <w:jc w:val="both"/>
        <w:ind w:firstLine="1304"/>
        <w:spacing w:after="0" w:line="231" w:lineRule="auto"/>
        <w:tabs>
          <w:tab w:leader="none" w:pos="1935" w:val="left"/>
        </w:tabs>
        <w:numPr>
          <w:ilvl w:val="1"/>
          <w:numId w:val="124"/>
        </w:numPr>
        <w:rPr>
          <w:rFonts w:ascii="Calibri" w:cs="Calibri" w:eastAsia="Calibri" w:hAnsi="Calibri"/>
          <w:sz w:val="22"/>
          <w:szCs w:val="22"/>
          <w:color w:val="auto"/>
        </w:rPr>
      </w:pPr>
      <w:r>
        <w:rPr>
          <w:rFonts w:ascii="Calibri" w:cs="Calibri" w:eastAsia="Calibri" w:hAnsi="Calibri"/>
          <w:sz w:val="22"/>
          <w:szCs w:val="22"/>
          <w:color w:val="auto"/>
        </w:rPr>
        <w:t xml:space="preserve">If the Grantee is a party to a Service Agreement, the provisions of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shall govern the vestng of the Grantee’s 2024 LTIP Units (SB) exclusively in the event of a Change of Control or terminaton of the Grantee’s service relatonship with the Company or any Subsidiary or afliate, unless the Service Agreement contains provisions that expressly refer to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and provides that those provisions of the Service Agreement or the Severance Arrangement shall instead govern the vestng of the Grantee’s 2024 LTIP Units (SB). The foregoing sentence will be deemed an amendment to any applicable Service Agreement to the extent required to apply its terms consistently with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such that, by way of illustraton, any provisions of the Service Agreement with respect to accelerated vestng or payout of the Grantee’s bonus or incentve compensaton awards in the event of certain types of terminatons of Grantee’s service relatonship (such as, for example, terminaton at the end of the term, terminaton without Cause by the employer or terminaton for Good Reason by the employee) shall not (unless the Service Agreement contains provisions that expressly refer to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and provides that those provisions of the Service Agreement shall instead govern the vestng of the Grantee’s 2024 LTIP Units (SB)) be interpreted as requiring that any vestng occur with respect to this Award other than as specifcally provided in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In the event an entty ceases to be a Subsidiary or afliate of the Company, such acton shall be deemed to be a terminaton of employment of all employees of that entty for purposes of this Agreement, resultng in any then unvested 2024 LTIP Units (SB), without payment of any consideraton by the Partnership, being automatcally and without notce forfeited,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the Commitee, in its sole and absolute discreton, may make provision in such circumstances for accelerated vestng of some or all of the Grantee’s remaining unvested 2024 LTIP Units (SB) that have not previously been forfeited efectve immediately prior to such event.</w:t>
      </w:r>
    </w:p>
    <w:p>
      <w:pPr>
        <w:spacing w:after="0" w:line="223" w:lineRule="exact"/>
        <w:rPr>
          <w:rFonts w:ascii="Calibri" w:cs="Calibri" w:eastAsia="Calibri" w:hAnsi="Calibri"/>
          <w:sz w:val="22"/>
          <w:szCs w:val="22"/>
          <w:color w:val="auto"/>
        </w:rPr>
      </w:pPr>
    </w:p>
    <w:p>
      <w:pPr>
        <w:ind w:left="1940" w:hanging="636"/>
        <w:spacing w:after="0"/>
        <w:tabs>
          <w:tab w:leader="none" w:pos="1940" w:val="left"/>
        </w:tabs>
        <w:numPr>
          <w:ilvl w:val="1"/>
          <w:numId w:val="124"/>
        </w:numPr>
        <w:rPr>
          <w:rFonts w:ascii="Calibri" w:cs="Calibri" w:eastAsia="Calibri" w:hAnsi="Calibri"/>
          <w:sz w:val="22"/>
          <w:szCs w:val="22"/>
          <w:color w:val="auto"/>
        </w:rPr>
      </w:pPr>
      <w:r>
        <w:rPr>
          <w:rFonts w:ascii="Calibri" w:cs="Calibri" w:eastAsia="Calibri" w:hAnsi="Calibri"/>
          <w:sz w:val="22"/>
          <w:szCs w:val="22"/>
          <w:color w:val="auto"/>
        </w:rPr>
        <w:t>In the event of a Change of Control prior to December 31, 2026, then:</w:t>
      </w:r>
    </w:p>
    <w:p>
      <w:pPr>
        <w:spacing w:after="0" w:line="214" w:lineRule="exact"/>
        <w:rPr>
          <w:rFonts w:ascii="Calibri" w:cs="Calibri" w:eastAsia="Calibri" w:hAnsi="Calibri"/>
          <w:sz w:val="22"/>
          <w:szCs w:val="22"/>
          <w:color w:val="auto"/>
        </w:rPr>
      </w:pPr>
    </w:p>
    <w:p>
      <w:pPr>
        <w:jc w:val="both"/>
        <w:ind w:left="1960" w:firstLine="640"/>
        <w:spacing w:after="0" w:line="231" w:lineRule="auto"/>
        <w:tabs>
          <w:tab w:leader="none" w:pos="3248" w:val="left"/>
        </w:tabs>
        <w:numPr>
          <w:ilvl w:val="2"/>
          <w:numId w:val="124"/>
        </w:numPr>
        <w:rPr>
          <w:rFonts w:ascii="Calibri" w:cs="Calibri" w:eastAsia="Calibri" w:hAnsi="Calibri"/>
          <w:sz w:val="22"/>
          <w:szCs w:val="22"/>
          <w:color w:val="auto"/>
        </w:rPr>
      </w:pPr>
      <w:r>
        <w:rPr>
          <w:rFonts w:ascii="Calibri" w:cs="Calibri" w:eastAsia="Calibri" w:hAnsi="Calibri"/>
          <w:sz w:val="22"/>
          <w:szCs w:val="22"/>
          <w:color w:val="auto"/>
        </w:rPr>
        <w:t xml:space="preserve">if the 2024 LTIP Units (SB) remain outstanding afer a Change of Control or equivalent replacement awards (as defned in </w:t>
      </w:r>
      <w:r>
        <w:rPr>
          <w:rFonts w:ascii="Calibri" w:cs="Calibri" w:eastAsia="Calibri" w:hAnsi="Calibri"/>
          <w:sz w:val="22"/>
          <w:szCs w:val="22"/>
          <w:u w:val="single" w:color="auto"/>
          <w:color w:val="auto"/>
        </w:rPr>
        <w:t>Secton 5(b)(iii)</w:t>
      </w:r>
      <w:r>
        <w:rPr>
          <w:rFonts w:ascii="Calibri" w:cs="Calibri" w:eastAsia="Calibri" w:hAnsi="Calibri"/>
          <w:sz w:val="22"/>
          <w:szCs w:val="22"/>
          <w:color w:val="auto"/>
        </w:rPr>
        <w:t xml:space="preserve"> hereof) are substtuted for the 2024 LTIP Units (SB) at the tme of the Change of Control, then unvested 2024 LTIP Units (SB) shall remain subject to vestng ted to the Grantee’s Contnuous Service untl December 31, 2026 as if no Change of Control had occurred, except that the Grantee shall become fully vested in such 2024 LTIP Units (SB) immediately (A) upon the Grantee’s Qualifed Terminaton in connecton with or within twenty-four (24) months afer the Change of Control, or (B) upon the Grantee’s death, Disability or Retrement;</w:t>
      </w:r>
    </w:p>
    <w:p>
      <w:pPr>
        <w:spacing w:after="0" w:line="215" w:lineRule="exact"/>
        <w:rPr>
          <w:rFonts w:ascii="Calibri" w:cs="Calibri" w:eastAsia="Calibri" w:hAnsi="Calibri"/>
          <w:sz w:val="22"/>
          <w:szCs w:val="22"/>
          <w:color w:val="auto"/>
        </w:rPr>
      </w:pPr>
    </w:p>
    <w:p>
      <w:pPr>
        <w:jc w:val="both"/>
        <w:ind w:left="1960" w:firstLine="640"/>
        <w:spacing w:after="0" w:line="229" w:lineRule="auto"/>
        <w:tabs>
          <w:tab w:leader="none" w:pos="3243" w:val="left"/>
        </w:tabs>
        <w:numPr>
          <w:ilvl w:val="2"/>
          <w:numId w:val="124"/>
        </w:numPr>
        <w:rPr>
          <w:rFonts w:ascii="Calibri" w:cs="Calibri" w:eastAsia="Calibri" w:hAnsi="Calibri"/>
          <w:sz w:val="22"/>
          <w:szCs w:val="22"/>
          <w:color w:val="auto"/>
        </w:rPr>
      </w:pPr>
      <w:r>
        <w:rPr>
          <w:rFonts w:ascii="Calibri" w:cs="Calibri" w:eastAsia="Calibri" w:hAnsi="Calibri"/>
          <w:sz w:val="22"/>
          <w:szCs w:val="22"/>
          <w:color w:val="auto"/>
        </w:rPr>
        <w:t xml:space="preserve">if neither the 2024 LTIP Units (SB) remain outstanding afer a Change of Control nor equivalent replacement awards (as defned in </w:t>
      </w:r>
      <w:r>
        <w:rPr>
          <w:rFonts w:ascii="Calibri" w:cs="Calibri" w:eastAsia="Calibri" w:hAnsi="Calibri"/>
          <w:sz w:val="22"/>
          <w:szCs w:val="22"/>
          <w:u w:val="single" w:color="auto"/>
          <w:color w:val="auto"/>
        </w:rPr>
        <w:t>Secton 5(b)(iii)</w:t>
      </w:r>
      <w:r>
        <w:rPr>
          <w:rFonts w:ascii="Calibri" w:cs="Calibri" w:eastAsia="Calibri" w:hAnsi="Calibri"/>
          <w:sz w:val="22"/>
          <w:szCs w:val="22"/>
          <w:color w:val="auto"/>
        </w:rPr>
        <w:t xml:space="preserve"> hereof) are substtuted for the 2024 LTIP Units (SB) at the tme of the Change of Control, then the Grantee shall become fully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w:t>
      </w:r>
    </w:p>
    <w:p>
      <w:pPr>
        <w:sectPr>
          <w:pgSz w:w="11900" w:h="16838" w:orient="portrait"/>
          <w:cols w:equalWidth="0" w:num="1">
            <w:col w:w="11240"/>
          </w:cols>
          <w:pgMar w:left="320" w:top="1396" w:right="339" w:bottom="1440" w:gutter="0" w:footer="0" w:header="0"/>
        </w:sectPr>
      </w:pPr>
    </w:p>
    <w:bookmarkStart w:id="114" w:name="page115"/>
    <w:bookmarkEnd w:id="114"/>
    <w:p>
      <w:pPr>
        <w:ind w:left="1960"/>
        <w:spacing w:after="0"/>
        <w:rPr>
          <w:sz w:val="20"/>
          <w:szCs w:val="20"/>
          <w:color w:val="auto"/>
        </w:rPr>
      </w:pPr>
      <w:r>
        <w:rPr>
          <w:rFonts w:ascii="Calibri" w:cs="Calibri" w:eastAsia="Calibri" w:hAnsi="Calibri"/>
          <w:sz w:val="22"/>
          <w:szCs w:val="22"/>
          <w:color w:val="auto"/>
        </w:rPr>
        <w:t>vested in all unvested 2024 LTIP Units (SB) as of the date of the Change of Control; and</w:t>
      </w:r>
    </w:p>
    <w:p>
      <w:pPr>
        <w:spacing w:after="0" w:line="215" w:lineRule="exact"/>
        <w:rPr>
          <w:sz w:val="20"/>
          <w:szCs w:val="20"/>
          <w:color w:val="auto"/>
        </w:rPr>
      </w:pPr>
    </w:p>
    <w:p>
      <w:pPr>
        <w:ind w:left="1960" w:firstLine="640"/>
        <w:spacing w:after="0" w:line="229" w:lineRule="auto"/>
        <w:tabs>
          <w:tab w:leader="none" w:pos="3252" w:val="left"/>
        </w:tabs>
        <w:numPr>
          <w:ilvl w:val="1"/>
          <w:numId w:val="125"/>
        </w:numPr>
        <w:rPr>
          <w:rFonts w:ascii="Calibri" w:cs="Calibri" w:eastAsia="Calibri" w:hAnsi="Calibri"/>
          <w:sz w:val="22"/>
          <w:szCs w:val="22"/>
          <w:color w:val="auto"/>
        </w:rPr>
      </w:pPr>
      <w:r>
        <w:rPr>
          <w:rFonts w:ascii="Calibri" w:cs="Calibri" w:eastAsia="Calibri" w:hAnsi="Calibri"/>
          <w:sz w:val="22"/>
          <w:szCs w:val="22"/>
          <w:color w:val="auto"/>
        </w:rPr>
        <w:t>an award shall qualify as an “equivalent replacement award” if the following conditons are met in the good faith discreton of the Commitee:</w:t>
      </w:r>
    </w:p>
    <w:p>
      <w:pPr>
        <w:spacing w:after="0" w:line="230" w:lineRule="exact"/>
        <w:rPr>
          <w:rFonts w:ascii="Calibri" w:cs="Calibri" w:eastAsia="Calibri" w:hAnsi="Calibri"/>
          <w:sz w:val="22"/>
          <w:szCs w:val="22"/>
          <w:color w:val="auto"/>
        </w:rPr>
      </w:pPr>
    </w:p>
    <w:p>
      <w:pPr>
        <w:jc w:val="both"/>
        <w:ind w:left="1960" w:firstLine="1288"/>
        <w:spacing w:after="0" w:line="229" w:lineRule="auto"/>
        <w:tabs>
          <w:tab w:leader="none" w:pos="3903" w:val="left"/>
        </w:tabs>
        <w:numPr>
          <w:ilvl w:val="2"/>
          <w:numId w:val="125"/>
        </w:numPr>
        <w:rPr>
          <w:rFonts w:ascii="Calibri" w:cs="Calibri" w:eastAsia="Calibri" w:hAnsi="Calibri"/>
          <w:sz w:val="22"/>
          <w:szCs w:val="22"/>
          <w:color w:val="auto"/>
        </w:rPr>
      </w:pPr>
      <w:r>
        <w:rPr>
          <w:rFonts w:ascii="Calibri" w:cs="Calibri" w:eastAsia="Calibri" w:hAnsi="Calibri"/>
          <w:sz w:val="22"/>
          <w:szCs w:val="22"/>
          <w:color w:val="auto"/>
        </w:rPr>
        <w:t>the replacement award is of the same type as the 2024 LTIP Units (SB) being replaced, including, without limitaton, income tax atributes relatng to the extent and tming of recogniton of taxable income, gain or loss by the Grantee;</w:t>
      </w:r>
    </w:p>
    <w:p>
      <w:pPr>
        <w:spacing w:after="0" w:line="216" w:lineRule="exact"/>
        <w:rPr>
          <w:rFonts w:ascii="Calibri" w:cs="Calibri" w:eastAsia="Calibri" w:hAnsi="Calibri"/>
          <w:sz w:val="22"/>
          <w:szCs w:val="22"/>
          <w:color w:val="auto"/>
        </w:rPr>
      </w:pPr>
    </w:p>
    <w:p>
      <w:pPr>
        <w:ind w:left="1960" w:firstLine="1288"/>
        <w:spacing w:after="0" w:line="229" w:lineRule="auto"/>
        <w:tabs>
          <w:tab w:leader="none" w:pos="3896" w:val="left"/>
        </w:tabs>
        <w:numPr>
          <w:ilvl w:val="2"/>
          <w:numId w:val="125"/>
        </w:numPr>
        <w:rPr>
          <w:rFonts w:ascii="Calibri" w:cs="Calibri" w:eastAsia="Calibri" w:hAnsi="Calibri"/>
          <w:sz w:val="22"/>
          <w:szCs w:val="22"/>
          <w:color w:val="auto"/>
        </w:rPr>
      </w:pPr>
      <w:r>
        <w:rPr>
          <w:rFonts w:ascii="Calibri" w:cs="Calibri" w:eastAsia="Calibri" w:hAnsi="Calibri"/>
          <w:sz w:val="22"/>
          <w:szCs w:val="22"/>
          <w:color w:val="auto"/>
        </w:rPr>
        <w:t>the replacement award has a value equal to the Fair Market Value of the 2024 LTIP Units (SB) being replaced as of the efectve date of the Change of Control;</w:t>
      </w:r>
    </w:p>
    <w:p>
      <w:pPr>
        <w:spacing w:after="0" w:line="230" w:lineRule="exact"/>
        <w:rPr>
          <w:rFonts w:ascii="Calibri" w:cs="Calibri" w:eastAsia="Calibri" w:hAnsi="Calibri"/>
          <w:sz w:val="22"/>
          <w:szCs w:val="22"/>
          <w:color w:val="auto"/>
        </w:rPr>
      </w:pPr>
    </w:p>
    <w:p>
      <w:pPr>
        <w:jc w:val="both"/>
        <w:ind w:left="1960" w:firstLine="1288"/>
        <w:spacing w:after="0" w:line="229" w:lineRule="auto"/>
        <w:tabs>
          <w:tab w:leader="none" w:pos="3894" w:val="left"/>
        </w:tabs>
        <w:numPr>
          <w:ilvl w:val="2"/>
          <w:numId w:val="125"/>
        </w:numPr>
        <w:rPr>
          <w:rFonts w:ascii="Calibri" w:cs="Calibri" w:eastAsia="Calibri" w:hAnsi="Calibri"/>
          <w:sz w:val="22"/>
          <w:szCs w:val="22"/>
          <w:color w:val="auto"/>
        </w:rPr>
      </w:pPr>
      <w:r>
        <w:rPr>
          <w:rFonts w:ascii="Calibri" w:cs="Calibri" w:eastAsia="Calibri" w:hAnsi="Calibri"/>
          <w:sz w:val="22"/>
          <w:szCs w:val="22"/>
          <w:color w:val="auto"/>
        </w:rPr>
        <w:t>the equity securites issuable upon the conversion, exercise, exchange or redempton of the replacement award, or securites underlying the replacement award, as applicable, are listed on a natonal stock exchange;</w:t>
      </w:r>
    </w:p>
    <w:p>
      <w:pPr>
        <w:spacing w:after="0" w:line="216" w:lineRule="exact"/>
        <w:rPr>
          <w:rFonts w:ascii="Calibri" w:cs="Calibri" w:eastAsia="Calibri" w:hAnsi="Calibri"/>
          <w:sz w:val="22"/>
          <w:szCs w:val="22"/>
          <w:color w:val="auto"/>
        </w:rPr>
      </w:pPr>
    </w:p>
    <w:p>
      <w:pPr>
        <w:jc w:val="both"/>
        <w:ind w:left="1960" w:firstLine="1288"/>
        <w:spacing w:after="0" w:line="229" w:lineRule="auto"/>
        <w:tabs>
          <w:tab w:leader="none" w:pos="3898" w:val="left"/>
        </w:tabs>
        <w:numPr>
          <w:ilvl w:val="2"/>
          <w:numId w:val="125"/>
        </w:numPr>
        <w:rPr>
          <w:rFonts w:ascii="Calibri" w:cs="Calibri" w:eastAsia="Calibri" w:hAnsi="Calibri"/>
          <w:sz w:val="22"/>
          <w:szCs w:val="22"/>
          <w:color w:val="auto"/>
        </w:rPr>
      </w:pPr>
      <w:r>
        <w:rPr>
          <w:rFonts w:ascii="Calibri" w:cs="Calibri" w:eastAsia="Calibri" w:hAnsi="Calibri"/>
          <w:sz w:val="22"/>
          <w:szCs w:val="22"/>
          <w:color w:val="auto"/>
        </w:rPr>
        <w:t>the replacement award contains terms relatng to vestng (including with respect to the Grantee’s Qualifed Terminaton, death, Disability or Retrement) that are substantally identcal to those of the 2024 LTIP Units (SB); and</w:t>
      </w:r>
    </w:p>
    <w:p>
      <w:pPr>
        <w:spacing w:after="0" w:line="230" w:lineRule="exact"/>
        <w:rPr>
          <w:rFonts w:ascii="Calibri" w:cs="Calibri" w:eastAsia="Calibri" w:hAnsi="Calibri"/>
          <w:sz w:val="22"/>
          <w:szCs w:val="22"/>
          <w:color w:val="auto"/>
        </w:rPr>
      </w:pPr>
    </w:p>
    <w:p>
      <w:pPr>
        <w:ind w:left="1960" w:firstLine="1288"/>
        <w:spacing w:after="0" w:line="229" w:lineRule="auto"/>
        <w:tabs>
          <w:tab w:leader="none" w:pos="3897" w:val="left"/>
        </w:tabs>
        <w:numPr>
          <w:ilvl w:val="2"/>
          <w:numId w:val="125"/>
        </w:numPr>
        <w:rPr>
          <w:rFonts w:ascii="Calibri" w:cs="Calibri" w:eastAsia="Calibri" w:hAnsi="Calibri"/>
          <w:sz w:val="22"/>
          <w:szCs w:val="22"/>
          <w:color w:val="auto"/>
        </w:rPr>
      </w:pPr>
      <w:r>
        <w:rPr>
          <w:rFonts w:ascii="Calibri" w:cs="Calibri" w:eastAsia="Calibri" w:hAnsi="Calibri"/>
          <w:sz w:val="22"/>
          <w:szCs w:val="22"/>
          <w:color w:val="auto"/>
        </w:rPr>
        <w:t>the other terms and conditons of the replacement award are not less favorable to the Grantee than the terms and conditons of the 2024 LTIP Units (SB).</w:t>
      </w:r>
    </w:p>
    <w:p>
      <w:pPr>
        <w:spacing w:after="0" w:line="216" w:lineRule="exact"/>
        <w:rPr>
          <w:rFonts w:ascii="Calibri" w:cs="Calibri" w:eastAsia="Calibri" w:hAnsi="Calibri"/>
          <w:sz w:val="22"/>
          <w:szCs w:val="22"/>
          <w:color w:val="auto"/>
        </w:rPr>
      </w:pPr>
    </w:p>
    <w:p>
      <w:pPr>
        <w:jc w:val="both"/>
        <w:ind w:firstLine="1304"/>
        <w:spacing w:after="0" w:line="230" w:lineRule="auto"/>
        <w:tabs>
          <w:tab w:leader="none" w:pos="1937" w:val="left"/>
        </w:tabs>
        <w:numPr>
          <w:ilvl w:val="0"/>
          <w:numId w:val="126"/>
        </w:numPr>
        <w:rPr>
          <w:rFonts w:ascii="Calibri" w:cs="Calibri" w:eastAsia="Calibri" w:hAnsi="Calibri"/>
          <w:sz w:val="22"/>
          <w:szCs w:val="22"/>
          <w:color w:val="auto"/>
        </w:rPr>
      </w:pPr>
      <w:r>
        <w:rPr>
          <w:rFonts w:ascii="Calibri" w:cs="Calibri" w:eastAsia="Calibri" w:hAnsi="Calibri"/>
          <w:sz w:val="22"/>
          <w:szCs w:val="22"/>
          <w:color w:val="auto"/>
        </w:rPr>
        <w:t xml:space="preserve">Except as otherwise provided in </w:t>
      </w:r>
      <w:r>
        <w:rPr>
          <w:rFonts w:ascii="Calibri" w:cs="Calibri" w:eastAsia="Calibri" w:hAnsi="Calibri"/>
          <w:sz w:val="22"/>
          <w:szCs w:val="22"/>
          <w:u w:val="single" w:color="auto"/>
          <w:color w:val="auto"/>
        </w:rPr>
        <w:t>Secton 5(b)</w:t>
      </w:r>
      <w:r>
        <w:rPr>
          <w:rFonts w:ascii="Calibri" w:cs="Calibri" w:eastAsia="Calibri" w:hAnsi="Calibri"/>
          <w:sz w:val="22"/>
          <w:szCs w:val="22"/>
          <w:color w:val="auto"/>
        </w:rPr>
        <w:t xml:space="preserve">, in the event of the Grantee’s Qualifed Terminaton, death Retrement or Disability (as applicable below) prior to the end of the Restricted Period, conditoned upon the executon and delivery by the Grantee of a release of claims substantally in the form of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to the Severance Arrangement and the Grantee’s compliance with the restrictve covenants set forth in Secton 9 of the Grantee’s Service Agreement, the following provision of this </w:t>
      </w:r>
      <w:r>
        <w:rPr>
          <w:rFonts w:ascii="Calibri" w:cs="Calibri" w:eastAsia="Calibri" w:hAnsi="Calibri"/>
          <w:sz w:val="22"/>
          <w:szCs w:val="22"/>
          <w:u w:val="single" w:color="auto"/>
          <w:color w:val="auto"/>
        </w:rPr>
        <w:t>Secton 5(c)</w:t>
      </w:r>
      <w:r>
        <w:rPr>
          <w:rFonts w:ascii="Calibri" w:cs="Calibri" w:eastAsia="Calibri" w:hAnsi="Calibri"/>
          <w:sz w:val="22"/>
          <w:szCs w:val="22"/>
          <w:color w:val="auto"/>
        </w:rPr>
        <w:t xml:space="preserve"> shall modify the vestng for the Grantee, subject, in each case, to the provisions of Sectons 6.4 and 6.5 of the Stock Plan: if Grantee experiences a Qualifed Terminaton, Retrement, death or Disability any porton of the Sign-On LTIP Units that has not then vested shall become fully vested immediately upon the Grantee’s Qualifed Terminaton, death, Disability or Retrement.</w:t>
      </w:r>
    </w:p>
    <w:p>
      <w:pPr>
        <w:spacing w:after="0" w:line="236" w:lineRule="exact"/>
        <w:rPr>
          <w:rFonts w:ascii="Calibri" w:cs="Calibri" w:eastAsia="Calibri" w:hAnsi="Calibri"/>
          <w:sz w:val="22"/>
          <w:szCs w:val="22"/>
          <w:color w:val="auto"/>
        </w:rPr>
      </w:pPr>
    </w:p>
    <w:p>
      <w:pPr>
        <w:jc w:val="both"/>
        <w:ind w:firstLine="1304"/>
        <w:spacing w:after="0" w:line="229" w:lineRule="auto"/>
        <w:tabs>
          <w:tab w:leader="none" w:pos="1932" w:val="left"/>
        </w:tabs>
        <w:numPr>
          <w:ilvl w:val="0"/>
          <w:numId w:val="126"/>
        </w:numPr>
        <w:rPr>
          <w:rFonts w:ascii="Calibri" w:cs="Calibri" w:eastAsia="Calibri" w:hAnsi="Calibri"/>
          <w:sz w:val="22"/>
          <w:szCs w:val="22"/>
          <w:color w:val="auto"/>
        </w:rPr>
      </w:pPr>
      <w:r>
        <w:rPr>
          <w:rFonts w:ascii="Calibri" w:cs="Calibri" w:eastAsia="Calibri" w:hAnsi="Calibri"/>
          <w:sz w:val="22"/>
          <w:szCs w:val="22"/>
          <w:color w:val="auto"/>
        </w:rPr>
        <w:t xml:space="preserve">In the event of a terminaton of employment or other cessaton of the Grantee’s Contnuous Service prior to the end of the Restricted Period, efectve as of the date of such terminaton or cessaton, all 2024 LTIP Units (SB) except for those that had previously vested pursuant to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hereof and those that otherwise become vested pursuant to this </w:t>
      </w:r>
      <w:r>
        <w:rPr>
          <w:rFonts w:ascii="Calibri" w:cs="Calibri" w:eastAsia="Calibri" w:hAnsi="Calibri"/>
          <w:sz w:val="22"/>
          <w:szCs w:val="22"/>
          <w:u w:val="single" w:color="auto"/>
          <w:color w:val="auto"/>
        </w:rPr>
        <w:t>Secton</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shall automatcally and immediately be forfeited by the Grantee. Any forfeited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7</w:t>
      </w:r>
    </w:p>
    <w:p>
      <w:pPr>
        <w:sectPr>
          <w:pgSz w:w="11900" w:h="16838" w:orient="portrait"/>
          <w:cols w:equalWidth="0" w:num="1">
            <w:col w:w="11240"/>
          </w:cols>
          <w:pgMar w:left="320" w:top="1396" w:right="339" w:bottom="1440" w:gutter="0" w:footer="0" w:header="0"/>
        </w:sectPr>
      </w:pPr>
    </w:p>
    <w:bookmarkStart w:id="115" w:name="page116"/>
    <w:bookmarkEnd w:id="115"/>
    <w:p>
      <w:pPr>
        <w:jc w:val="both"/>
        <w:spacing w:after="0" w:line="229" w:lineRule="auto"/>
        <w:rPr>
          <w:sz w:val="20"/>
          <w:szCs w:val="20"/>
          <w:color w:val="auto"/>
        </w:rPr>
      </w:pPr>
      <w:r>
        <w:rPr>
          <w:rFonts w:ascii="Calibri" w:cs="Calibri" w:eastAsia="Calibri" w:hAnsi="Calibri"/>
          <w:sz w:val="22"/>
          <w:szCs w:val="22"/>
          <w:color w:val="auto"/>
        </w:rPr>
        <w:t>LTIP Units (SB) shall, without payment of any consideraton by the Partnership, automatcally and without notce be and become null and void, and neither the Grantee nor any of his successors, heirs, assigns, or personal representatves will thereafer have any further rights or interests in such forfeited 2024 LTIP Units (SB).</w:t>
      </w:r>
    </w:p>
    <w:p>
      <w:pPr>
        <w:spacing w:after="0" w:line="230" w:lineRule="exact"/>
        <w:rPr>
          <w:sz w:val="20"/>
          <w:szCs w:val="20"/>
          <w:color w:val="auto"/>
        </w:rPr>
      </w:pPr>
    </w:p>
    <w:p>
      <w:pPr>
        <w:ind w:firstLine="656"/>
        <w:spacing w:after="0" w:line="229" w:lineRule="auto"/>
        <w:tabs>
          <w:tab w:leader="none" w:pos="1284" w:val="left"/>
        </w:tabs>
        <w:numPr>
          <w:ilvl w:val="1"/>
          <w:numId w:val="127"/>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Payments by Award Recipients</w:t>
      </w:r>
      <w:r>
        <w:rPr>
          <w:rFonts w:ascii="Calibri" w:cs="Calibri" w:eastAsia="Calibri" w:hAnsi="Calibri"/>
          <w:sz w:val="22"/>
          <w:szCs w:val="22"/>
          <w:u w:val="single" w:color="auto"/>
          <w:color w:val="auto"/>
        </w:rPr>
        <w: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No amount shall be payable to the Company or the Partnership by the Grantee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at any tme in respect of this Award.</w:t>
      </w:r>
    </w:p>
    <w:p>
      <w:pPr>
        <w:spacing w:after="0" w:line="216" w:lineRule="exact"/>
        <w:rPr>
          <w:rFonts w:ascii="Calibri" w:cs="Calibri" w:eastAsia="Calibri" w:hAnsi="Calibri"/>
          <w:sz w:val="22"/>
          <w:szCs w:val="22"/>
          <w:color w:val="auto"/>
        </w:rPr>
      </w:pPr>
    </w:p>
    <w:p>
      <w:pPr>
        <w:ind w:firstLine="656"/>
        <w:spacing w:after="0" w:line="229" w:lineRule="auto"/>
        <w:tabs>
          <w:tab w:leader="none" w:pos="1284" w:val="left"/>
        </w:tabs>
        <w:numPr>
          <w:ilvl w:val="1"/>
          <w:numId w:val="127"/>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Distributons.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Distributons on 2024 LTIP Units (SB) will be paid in accordance with the Partnership Agreement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modifed hereby as follows:</w:t>
      </w:r>
    </w:p>
    <w:p>
      <w:pPr>
        <w:spacing w:after="0" w:line="216" w:lineRule="exact"/>
        <w:rPr>
          <w:rFonts w:ascii="Calibri" w:cs="Calibri" w:eastAsia="Calibri" w:hAnsi="Calibri"/>
          <w:sz w:val="22"/>
          <w:szCs w:val="22"/>
          <w:color w:val="auto"/>
        </w:rPr>
      </w:pPr>
    </w:p>
    <w:p>
      <w:pPr>
        <w:jc w:val="both"/>
        <w:ind w:firstLine="1304"/>
        <w:spacing w:after="0" w:line="243" w:lineRule="auto"/>
        <w:tabs>
          <w:tab w:leader="none" w:pos="1935" w:val="left"/>
        </w:tabs>
        <w:numPr>
          <w:ilvl w:val="2"/>
          <w:numId w:val="127"/>
        </w:numPr>
        <w:rPr>
          <w:rFonts w:ascii="Calibri" w:cs="Calibri" w:eastAsia="Calibri" w:hAnsi="Calibri"/>
          <w:sz w:val="21"/>
          <w:szCs w:val="21"/>
          <w:color w:val="auto"/>
        </w:rPr>
      </w:pPr>
      <w:r>
        <w:rPr>
          <w:rFonts w:ascii="Calibri" w:cs="Calibri" w:eastAsia="Calibri" w:hAnsi="Calibri"/>
          <w:sz w:val="21"/>
          <w:szCs w:val="21"/>
          <w:color w:val="auto"/>
        </w:rPr>
        <w:t>The LTIP Unit Distributon Partcipaton Date (as defned in the Partnership Agreement) with respect to the 2024 LTIP Units (SB) shall be the Efectve Date and the 2024 LTIP Units (SB) shall be enttled to the full distributon payable on Units outstanding as of the record date for the quarterly distributon in which the Efectve Date falls even though the 2024 LTIP Units (SB) will not have been outstanding for the whole quarterly period. All distributons paid with respect to 2024 LTIP Units (SB) shall be fully vested and non-forfeitable when paid whether the underlying 2024 LTIP Units (SB) are vested or unvested.</w:t>
      </w:r>
    </w:p>
    <w:p>
      <w:pPr>
        <w:spacing w:after="0" w:line="214" w:lineRule="exact"/>
        <w:rPr>
          <w:rFonts w:ascii="Calibri" w:cs="Calibri" w:eastAsia="Calibri" w:hAnsi="Calibri"/>
          <w:sz w:val="21"/>
          <w:szCs w:val="21"/>
          <w:color w:val="auto"/>
        </w:rPr>
      </w:pPr>
    </w:p>
    <w:p>
      <w:pPr>
        <w:jc w:val="both"/>
        <w:ind w:firstLine="1304"/>
        <w:spacing w:after="0" w:line="232" w:lineRule="auto"/>
        <w:tabs>
          <w:tab w:leader="none" w:pos="1932" w:val="left"/>
        </w:tabs>
        <w:numPr>
          <w:ilvl w:val="2"/>
          <w:numId w:val="127"/>
        </w:numPr>
        <w:rPr>
          <w:rFonts w:ascii="Calibri" w:cs="Calibri" w:eastAsia="Calibri" w:hAnsi="Calibri"/>
          <w:sz w:val="22"/>
          <w:szCs w:val="22"/>
          <w:color w:val="auto"/>
        </w:rPr>
      </w:pPr>
      <w:r>
        <w:rPr>
          <w:rFonts w:ascii="Calibri" w:cs="Calibri" w:eastAsia="Calibri" w:hAnsi="Calibri"/>
          <w:sz w:val="22"/>
          <w:szCs w:val="22"/>
          <w:color w:val="auto"/>
        </w:rPr>
        <w:t>To the extent that the Partnership makes distributons to holders of Units partally in cash and partally in additonal Units or other securites, unless the Commitee in its sole discreton determines to allow the Grantee to make a diferent electon, the Grantee shall be deemed to have elected with respect to all 2024 LTIP Units (SB) eligible to receive such distributon to receive 10% of such distributon in cash and 90% in Units.</w:t>
      </w:r>
    </w:p>
    <w:p>
      <w:pPr>
        <w:spacing w:after="0" w:line="217" w:lineRule="exact"/>
        <w:rPr>
          <w:rFonts w:ascii="Calibri" w:cs="Calibri" w:eastAsia="Calibri" w:hAnsi="Calibri"/>
          <w:sz w:val="22"/>
          <w:szCs w:val="22"/>
          <w:color w:val="auto"/>
        </w:rPr>
      </w:pPr>
    </w:p>
    <w:p>
      <w:pPr>
        <w:jc w:val="both"/>
        <w:ind w:firstLine="656"/>
        <w:spacing w:after="0" w:line="242" w:lineRule="auto"/>
        <w:tabs>
          <w:tab w:leader="none" w:pos="1284" w:val="left"/>
        </w:tabs>
        <w:numPr>
          <w:ilvl w:val="1"/>
          <w:numId w:val="127"/>
        </w:numPr>
        <w:rPr>
          <w:rFonts w:ascii="Calibri" w:cs="Calibri" w:eastAsia="Calibri" w:hAnsi="Calibri"/>
          <w:sz w:val="21"/>
          <w:szCs w:val="21"/>
          <w:color w:val="auto"/>
        </w:rPr>
      </w:pPr>
      <w:r>
        <w:rPr>
          <w:rFonts w:ascii="Calibri" w:cs="Calibri" w:eastAsia="Calibri" w:hAnsi="Calibri"/>
          <w:sz w:val="21"/>
          <w:szCs w:val="21"/>
          <w:b w:val="1"/>
          <w:bCs w:val="1"/>
          <w:u w:val="single" w:color="auto"/>
          <w:color w:val="auto"/>
        </w:rPr>
        <w:t>Restrictons on Transfer</w:t>
      </w:r>
      <w:r>
        <w:rPr>
          <w:rFonts w:ascii="Calibri" w:cs="Calibri" w:eastAsia="Calibri" w:hAnsi="Calibri"/>
          <w:sz w:val="21"/>
          <w:szCs w:val="21"/>
          <w:u w:val="single" w:color="auto"/>
          <w:color w:val="auto"/>
        </w:rPr>
        <w:t>.</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None of the 2024 LTIP Units (SB) shall be sold, assigned, transferred, pledged or</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otherwise disposed of or encumbered (whether voluntarily or involuntarily or by judgment, levy, atachment, garnishment or other legal or equitable proceeding) (each such acton a “</w:t>
      </w:r>
      <w:r>
        <w:rPr>
          <w:rFonts w:ascii="Calibri" w:cs="Calibri" w:eastAsia="Calibri" w:hAnsi="Calibri"/>
          <w:sz w:val="21"/>
          <w:szCs w:val="21"/>
          <w:u w:val="single" w:color="auto"/>
          <w:color w:val="auto"/>
        </w:rPr>
        <w:t>Transfer</w:t>
      </w:r>
      <w:r>
        <w:rPr>
          <w:rFonts w:ascii="Calibri" w:cs="Calibri" w:eastAsia="Calibri" w:hAnsi="Calibri"/>
          <w:sz w:val="21"/>
          <w:szCs w:val="21"/>
          <w:color w:val="auto"/>
        </w:rPr>
        <w:t>”), or redeemed in accordance with the Partnership Agreement (a) prior to vestng, and (b) unless such Transfer is in compliance with all applicable securites laws (including, without limitaton, the Securites Act of 1933, as amended (the “</w:t>
      </w:r>
      <w:r>
        <w:rPr>
          <w:rFonts w:ascii="Calibri" w:cs="Calibri" w:eastAsia="Calibri" w:hAnsi="Calibri"/>
          <w:sz w:val="21"/>
          <w:szCs w:val="21"/>
          <w:u w:val="single" w:color="auto"/>
          <w:color w:val="auto"/>
        </w:rPr>
        <w:t>Securites Act</w:t>
      </w:r>
      <w:r>
        <w:rPr>
          <w:rFonts w:ascii="Calibri" w:cs="Calibri" w:eastAsia="Calibri" w:hAnsi="Calibri"/>
          <w:sz w:val="21"/>
          <w:szCs w:val="21"/>
          <w:color w:val="auto"/>
        </w:rPr>
        <w:t xml:space="preserve">”)), and such Transfer is in accordance with the applicable terms and conditons of the Partnership Agreement; provided, however, that clause (a) above shall not apply with respect to (i) the conversion into Units of 2024 LTIP Units (SB) that have become vested in accordance with </w:t>
      </w:r>
      <w:r>
        <w:rPr>
          <w:rFonts w:ascii="Calibri" w:cs="Calibri" w:eastAsia="Calibri" w:hAnsi="Calibri"/>
          <w:sz w:val="21"/>
          <w:szCs w:val="21"/>
          <w:u w:val="single" w:color="auto"/>
          <w:color w:val="auto"/>
        </w:rPr>
        <w:t>Sectons 4 or 5</w:t>
      </w:r>
      <w:r>
        <w:rPr>
          <w:rFonts w:ascii="Calibri" w:cs="Calibri" w:eastAsia="Calibri" w:hAnsi="Calibri"/>
          <w:sz w:val="21"/>
          <w:szCs w:val="21"/>
          <w:color w:val="auto"/>
        </w:rPr>
        <w:t xml:space="preserve"> hereof (“</w:t>
      </w:r>
      <w:r>
        <w:rPr>
          <w:rFonts w:ascii="Calibri" w:cs="Calibri" w:eastAsia="Calibri" w:hAnsi="Calibri"/>
          <w:sz w:val="21"/>
          <w:szCs w:val="21"/>
          <w:u w:val="single" w:color="auto"/>
          <w:color w:val="auto"/>
        </w:rPr>
        <w:t>Converted LTIP Units</w:t>
      </w:r>
      <w:r>
        <w:rPr>
          <w:rFonts w:ascii="Calibri" w:cs="Calibri" w:eastAsia="Calibri" w:hAnsi="Calibri"/>
          <w:sz w:val="21"/>
          <w:szCs w:val="21"/>
          <w:color w:val="auto"/>
        </w:rPr>
        <w:t xml:space="preserve">”) or (ii) any Transfer either of 2024 LTIP Units (SB) that have become vested in accordance with </w:t>
      </w:r>
      <w:r>
        <w:rPr>
          <w:rFonts w:ascii="Calibri" w:cs="Calibri" w:eastAsia="Calibri" w:hAnsi="Calibri"/>
          <w:sz w:val="21"/>
          <w:szCs w:val="21"/>
          <w:u w:val="single" w:color="auto"/>
          <w:color w:val="auto"/>
        </w:rPr>
        <w:t>Sectons 4 or 5</w:t>
      </w:r>
      <w:r>
        <w:rPr>
          <w:rFonts w:ascii="Calibri" w:cs="Calibri" w:eastAsia="Calibri" w:hAnsi="Calibri"/>
          <w:sz w:val="21"/>
          <w:szCs w:val="21"/>
          <w:color w:val="auto"/>
        </w:rPr>
        <w:t xml:space="preserve"> hereof or of Converted LTIP Units, so long as such Transfer is (A) permited under the Partnership Agreement and</w:t>
      </w:r>
    </w:p>
    <w:p>
      <w:pPr>
        <w:spacing w:after="0" w:line="9" w:lineRule="exact"/>
        <w:rPr>
          <w:rFonts w:ascii="Calibri" w:cs="Calibri" w:eastAsia="Calibri" w:hAnsi="Calibri"/>
          <w:sz w:val="21"/>
          <w:szCs w:val="21"/>
          <w:color w:val="auto"/>
        </w:rPr>
      </w:pPr>
    </w:p>
    <w:p>
      <w:pPr>
        <w:jc w:val="both"/>
        <w:ind w:firstLine="8"/>
        <w:spacing w:after="0" w:line="231" w:lineRule="auto"/>
        <w:tabs>
          <w:tab w:leader="none" w:pos="326" w:val="left"/>
        </w:tabs>
        <w:numPr>
          <w:ilvl w:val="0"/>
          <w:numId w:val="128"/>
        </w:numPr>
        <w:rPr>
          <w:rFonts w:ascii="Calibri" w:cs="Calibri" w:eastAsia="Calibri" w:hAnsi="Calibri"/>
          <w:sz w:val="22"/>
          <w:szCs w:val="22"/>
          <w:color w:val="auto"/>
        </w:rPr>
      </w:pPr>
      <w:r>
        <w:rPr>
          <w:rFonts w:ascii="Calibri" w:cs="Calibri" w:eastAsia="Calibri" w:hAnsi="Calibri"/>
          <w:sz w:val="22"/>
          <w:szCs w:val="22"/>
          <w:color w:val="auto"/>
        </w:rPr>
        <w:t xml:space="preserve">in connecton with donatve, estate or tax planning by the Grantee; and provided, further, that the Transferee agrees in writng with the Company and the Partnership not to make any further Transfer of such vested 2024 LTIP Units (SB) or Converted LTIP Units other than as permited by this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In connecton with any Transfer of 2024 LTIP Units (SB) or Converted LTIP Units, the Partnership may require the Grantee to provide an opinion of counsel, satsfactory to the Partnership, that such Transfer is in compliance with all federal and state securites laws (including, without limitaton, the Securites Act). Any atempted Transfer of 2024 LTIP Units (SB) not in accordance with the terms and conditons of this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shall be null and void, and the Partnership shall not refect on its records any change in record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8</w:t>
      </w:r>
    </w:p>
    <w:p>
      <w:pPr>
        <w:sectPr>
          <w:pgSz w:w="11900" w:h="16838" w:orient="portrait"/>
          <w:cols w:equalWidth="0" w:num="1">
            <w:col w:w="11240"/>
          </w:cols>
          <w:pgMar w:left="320" w:top="1407" w:right="339" w:bottom="1440" w:gutter="0" w:footer="0" w:header="0"/>
        </w:sectPr>
      </w:pPr>
    </w:p>
    <w:bookmarkStart w:id="116" w:name="page117"/>
    <w:bookmarkEnd w:id="116"/>
    <w:p>
      <w:pPr>
        <w:jc w:val="both"/>
        <w:spacing w:after="0" w:line="231" w:lineRule="auto"/>
        <w:rPr>
          <w:sz w:val="20"/>
          <w:szCs w:val="20"/>
          <w:color w:val="auto"/>
        </w:rPr>
      </w:pPr>
      <w:r>
        <w:rPr>
          <w:rFonts w:ascii="Calibri" w:cs="Calibri" w:eastAsia="Calibri" w:hAnsi="Calibri"/>
          <w:sz w:val="22"/>
          <w:szCs w:val="22"/>
          <w:color w:val="auto"/>
        </w:rPr>
        <w:t xml:space="preserve">ownership of any 2024 LTIP Units (SB) as a result of any such Transfer, shall otherwise refuse to recognize any such Transfer and shall not in any way give efect to any such Transfer of any 2024 LTIP Units (SB). The restrictons on Transfer in this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shall not be interpreted to prohibit the Grantee from designatng one or more benefciaries to receive the Grantee’s LTIP Units or Converted LTIP Units that are payable in the event of the Grantee’s death. Any such benefciary designaton shall be on a form provided or approved by the Company.</w:t>
      </w:r>
    </w:p>
    <w:p>
      <w:pPr>
        <w:spacing w:after="0" w:line="220" w:lineRule="exact"/>
        <w:rPr>
          <w:sz w:val="20"/>
          <w:szCs w:val="20"/>
          <w:color w:val="auto"/>
        </w:rPr>
      </w:pPr>
    </w:p>
    <w:p>
      <w:pPr>
        <w:jc w:val="both"/>
        <w:ind w:firstLine="656"/>
        <w:spacing w:after="0" w:line="231" w:lineRule="auto"/>
        <w:tabs>
          <w:tab w:leader="none" w:pos="1284" w:val="left"/>
        </w:tabs>
        <w:numPr>
          <w:ilvl w:val="0"/>
          <w:numId w:val="129"/>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Changes in Capital Structure</w:t>
      </w:r>
      <w:r>
        <w:rPr>
          <w:rFonts w:ascii="Calibri" w:cs="Calibri" w:eastAsia="Calibri" w:hAnsi="Calibri"/>
          <w:sz w:val="22"/>
          <w:szCs w:val="22"/>
          <w:u w:val="single" w:color="auto"/>
          <w:color w:val="auto"/>
        </w:rPr>
        <w: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Without duplicaton with the provisions of Secton 6.2 of the Stock Plan, if (a)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Company shall at any tme be involved in a merger, consolidaton, dissoluton, liquidaton, reorganizaton, exchange of shares, sale of all or substantally all of the assets or stock of the Company, spin-of of a Subsidiary, business unit or signifcant porton of assets or other fundamental transacton similar thereto, (b) any stock dividend, stock split, reverse stock split, stock combinaton, reclassifcaton, recapitalizaton, signifcant repurchases of stock, or other similar change in the capital structure of the Company shall occur, (c) any extraordinary dividend or other distributon to holders of shares of Common Stock or Units other than regular cash dividends shall be made, or (d) any other event shall occur that in each case in the good faith judgment of the Commitee necessitates acton by way of appropriate equitable adjustment in the terms of this Award, the LTIP or the 2024 LTIP Units (SB), then the Commitee shall take such acton as it deems necessary to maintain the Grantee’s rights hereunder so that they are substantally proportonate to the rights existng under this Award, the LTIP and the terms of the 2024 LTIP Units (SB) prior to such event, including, without limitaton: (i) adjustments in the 2024 LTIP Units (SB) or other pertnent terms of this Award; and (ii) substtuton of other awards under the Stock Plan or otherwise. The Grantee shall have the right to vote the 2024 LTIP Units (SB) if and when votng is allowed under the Partnership Agreement, regardless of whether vestng has occurred.</w:t>
      </w:r>
    </w:p>
    <w:p>
      <w:pPr>
        <w:spacing w:after="0" w:line="216" w:lineRule="exact"/>
        <w:rPr>
          <w:rFonts w:ascii="Calibri" w:cs="Calibri" w:eastAsia="Calibri" w:hAnsi="Calibri"/>
          <w:sz w:val="22"/>
          <w:szCs w:val="22"/>
          <w:color w:val="auto"/>
        </w:rPr>
      </w:pPr>
    </w:p>
    <w:p>
      <w:pPr>
        <w:ind w:left="1300" w:hanging="644"/>
        <w:spacing w:after="0"/>
        <w:tabs>
          <w:tab w:leader="none" w:pos="1300" w:val="left"/>
        </w:tabs>
        <w:numPr>
          <w:ilvl w:val="0"/>
          <w:numId w:val="129"/>
        </w:numPr>
        <w:rPr>
          <w:rFonts w:ascii="Calibri" w:cs="Calibri" w:eastAsia="Calibri" w:hAnsi="Calibri"/>
          <w:sz w:val="22"/>
          <w:szCs w:val="22"/>
          <w:color w:val="auto"/>
        </w:rPr>
      </w:pPr>
      <w:r>
        <w:rPr>
          <w:rFonts w:ascii="Calibri" w:cs="Calibri" w:eastAsia="Calibri" w:hAnsi="Calibri"/>
          <w:sz w:val="22"/>
          <w:szCs w:val="22"/>
          <w:b w:val="1"/>
          <w:bCs w:val="1"/>
          <w:u w:val="single" w:color="auto"/>
          <w:color w:val="auto"/>
        </w:rPr>
        <w:t>Miscellaneous.</w:t>
      </w:r>
    </w:p>
    <w:p>
      <w:pPr>
        <w:spacing w:after="0" w:line="216" w:lineRule="exact"/>
        <w:rPr>
          <w:rFonts w:ascii="Calibri" w:cs="Calibri" w:eastAsia="Calibri" w:hAnsi="Calibri"/>
          <w:sz w:val="22"/>
          <w:szCs w:val="22"/>
          <w:color w:val="auto"/>
        </w:rPr>
      </w:pPr>
    </w:p>
    <w:p>
      <w:pPr>
        <w:jc w:val="both"/>
        <w:ind w:firstLine="1304"/>
        <w:spacing w:after="0" w:line="242" w:lineRule="auto"/>
        <w:tabs>
          <w:tab w:leader="none" w:pos="1935" w:val="left"/>
        </w:tabs>
        <w:numPr>
          <w:ilvl w:val="1"/>
          <w:numId w:val="129"/>
        </w:numPr>
        <w:rPr>
          <w:rFonts w:ascii="Calibri" w:cs="Calibri" w:eastAsia="Calibri" w:hAnsi="Calibri"/>
          <w:sz w:val="21"/>
          <w:szCs w:val="21"/>
          <w:color w:val="auto"/>
        </w:rPr>
      </w:pPr>
      <w:r>
        <w:rPr>
          <w:rFonts w:ascii="Calibri" w:cs="Calibri" w:eastAsia="Calibri" w:hAnsi="Calibri"/>
          <w:sz w:val="21"/>
          <w:szCs w:val="21"/>
          <w:u w:val="single" w:color="auto"/>
          <w:color w:val="auto"/>
        </w:rPr>
        <w:t>Amendments; Modifcatons</w:t>
      </w:r>
      <w:r>
        <w:rPr>
          <w:rFonts w:ascii="Calibri" w:cs="Calibri" w:eastAsia="Calibri" w:hAnsi="Calibri"/>
          <w:sz w:val="21"/>
          <w:szCs w:val="21"/>
          <w:color w:val="auto"/>
        </w:rPr>
        <w:t xml:space="preserve">. This Agreement may be amended or modifed only with the consent of the Company and the Partnership;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that any such amendment or modifcaton materially and adversely afectng the rights of the Grantee hereunder must be consented to by the Grantee to be efectve as against him; and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w:t>
      </w:r>
      <w:r>
        <w:rPr>
          <w:rFonts w:ascii="Calibri" w:cs="Calibri" w:eastAsia="Calibri" w:hAnsi="Calibri"/>
          <w:sz w:val="21"/>
          <w:szCs w:val="21"/>
          <w:u w:val="single" w:color="auto"/>
          <w:color w:val="auto"/>
        </w:rPr>
        <w:t>further</w:t>
      </w:r>
      <w:r>
        <w:rPr>
          <w:rFonts w:ascii="Calibri" w:cs="Calibri" w:eastAsia="Calibri" w:hAnsi="Calibri"/>
          <w:sz w:val="21"/>
          <w:szCs w:val="21"/>
          <w:color w:val="auto"/>
        </w:rPr>
        <w:t>, that the Grantee acknowledges that the Stock Plan may be amended or discontnued in accordance with Secton 6.6 thereof and that this Agreement may be amended or canceled by the Commitee, on behalf of the Company and the Partnership, for the purpose of satsfying changes in law or for any other lawful purpose, so long as no such acton shall impair the Grantee’s rights under this Agreement without the Grantee’s writen consent. Notwithstanding the foregoing, this Agreement may be amended in writng signed only by the Company to correct any errors or ambiguites in this Agreement and/or to make such changes that do not materially adversely afect the Grantee’s rights hereunder. No promises, assurances, commitments, agreements, undertakings or representatons, whether oral, writen, electronic or otherwise, and whether express or implied, with respect to the subject mater hereof, have been made by the partes which are not set forth expressly in this Agreement. This grant shall in no way afect the Grantee’s partcipaton or benefts under any other plan or beneft program maintained or provided by the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9</w:t>
      </w:r>
    </w:p>
    <w:p>
      <w:pPr>
        <w:sectPr>
          <w:pgSz w:w="11900" w:h="16838" w:orient="portrait"/>
          <w:cols w:equalWidth="0" w:num="1">
            <w:col w:w="11240"/>
          </w:cols>
          <w:pgMar w:left="320" w:top="1407" w:right="339" w:bottom="1440" w:gutter="0" w:footer="0" w:header="0"/>
        </w:sectPr>
      </w:pPr>
    </w:p>
    <w:bookmarkStart w:id="117" w:name="page118"/>
    <w:bookmarkEnd w:id="117"/>
    <w:p>
      <w:pPr>
        <w:jc w:val="both"/>
        <w:ind w:firstLine="1304"/>
        <w:spacing w:after="0" w:line="231" w:lineRule="auto"/>
        <w:tabs>
          <w:tab w:leader="none" w:pos="1932" w:val="left"/>
        </w:tabs>
        <w:numPr>
          <w:ilvl w:val="0"/>
          <w:numId w:val="130"/>
        </w:numPr>
        <w:rPr>
          <w:rFonts w:ascii="Calibri" w:cs="Calibri" w:eastAsia="Calibri" w:hAnsi="Calibri"/>
          <w:sz w:val="22"/>
          <w:szCs w:val="22"/>
          <w:color w:val="auto"/>
        </w:rPr>
      </w:pPr>
      <w:r>
        <w:rPr>
          <w:rFonts w:ascii="Calibri" w:cs="Calibri" w:eastAsia="Calibri" w:hAnsi="Calibri"/>
          <w:sz w:val="22"/>
          <w:szCs w:val="22"/>
          <w:u w:val="single" w:color="auto"/>
          <w:color w:val="auto"/>
        </w:rPr>
        <w:t>Incorporaton of Stock Plan and Severance Arrangement; Commitee Determinatons</w:t>
      </w:r>
      <w:r>
        <w:rPr>
          <w:rFonts w:ascii="Calibri" w:cs="Calibri" w:eastAsia="Calibri" w:hAnsi="Calibri"/>
          <w:sz w:val="22"/>
          <w:szCs w:val="22"/>
          <w:color w:val="auto"/>
        </w:rPr>
        <w:t>. The provisions of the Stock Plan and the Severance Arrangement are hereby incorporated by reference as if set forth herein. In the event of a confict between this Agreement and the Stock Plan or this Agreement and the Severance Arrangement, this Agreement shall be controlling and determinatve, except as otherwise expressly indicated otherwise in the Stock Plan or the Severance Arrangement. The Commitee will make the determinatons and certfcatons required by this Award as promptly as reasonably practcable following the occurrence of the event or events necessitatng such determinatons or certfcatons.</w:t>
      </w:r>
    </w:p>
    <w:p>
      <w:pPr>
        <w:spacing w:after="0" w:line="217" w:lineRule="exact"/>
        <w:rPr>
          <w:rFonts w:ascii="Calibri" w:cs="Calibri" w:eastAsia="Calibri" w:hAnsi="Calibri"/>
          <w:sz w:val="22"/>
          <w:szCs w:val="22"/>
          <w:color w:val="auto"/>
        </w:rPr>
      </w:pPr>
    </w:p>
    <w:p>
      <w:pPr>
        <w:jc w:val="both"/>
        <w:ind w:firstLine="1304"/>
        <w:spacing w:after="0" w:line="231" w:lineRule="auto"/>
        <w:tabs>
          <w:tab w:leader="none" w:pos="1937" w:val="left"/>
        </w:tabs>
        <w:numPr>
          <w:ilvl w:val="0"/>
          <w:numId w:val="130"/>
        </w:numPr>
        <w:rPr>
          <w:rFonts w:ascii="Calibri" w:cs="Calibri" w:eastAsia="Calibri" w:hAnsi="Calibri"/>
          <w:sz w:val="22"/>
          <w:szCs w:val="22"/>
          <w:color w:val="auto"/>
        </w:rPr>
      </w:pPr>
      <w:r>
        <w:rPr>
          <w:rFonts w:ascii="Calibri" w:cs="Calibri" w:eastAsia="Calibri" w:hAnsi="Calibri"/>
          <w:sz w:val="22"/>
          <w:szCs w:val="22"/>
          <w:u w:val="single" w:color="auto"/>
          <w:color w:val="auto"/>
        </w:rPr>
        <w:t>Status as a Partner</w:t>
      </w:r>
      <w:r>
        <w:rPr>
          <w:rFonts w:ascii="Calibri" w:cs="Calibri" w:eastAsia="Calibri" w:hAnsi="Calibri"/>
          <w:sz w:val="22"/>
          <w:szCs w:val="22"/>
          <w:color w:val="auto"/>
        </w:rPr>
        <w:t xml:space="preserve">. As of the grant date set forth on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the Grantee shall be admited as a partner of the Partnership with benefcial ownership of the number of 2024 LTIP Units (SB) issued to the Grantee as of such date pursuant to </w:t>
      </w:r>
      <w:r>
        <w:rPr>
          <w:rFonts w:ascii="Calibri" w:cs="Calibri" w:eastAsia="Calibri" w:hAnsi="Calibri"/>
          <w:sz w:val="22"/>
          <w:szCs w:val="22"/>
          <w:u w:val="single" w:color="auto"/>
          <w:color w:val="auto"/>
        </w:rPr>
        <w:t>Secton 3(a)</w:t>
      </w:r>
      <w:r>
        <w:rPr>
          <w:rFonts w:ascii="Calibri" w:cs="Calibri" w:eastAsia="Calibri" w:hAnsi="Calibri"/>
          <w:sz w:val="22"/>
          <w:szCs w:val="22"/>
          <w:color w:val="auto"/>
        </w:rPr>
        <w:t xml:space="preserve"> hereof by: (A) signing and delivering to the Partnership a copy of this Agreement; and (B) signing, as a Limited Partner, and delivering to the Partnership a counterpart signature page to the Partnership Agreement (atached hereto as </w:t>
      </w:r>
      <w:r>
        <w:rPr>
          <w:rFonts w:ascii="Calibri" w:cs="Calibri" w:eastAsia="Calibri" w:hAnsi="Calibri"/>
          <w:sz w:val="22"/>
          <w:szCs w:val="22"/>
          <w:u w:val="single" w:color="auto"/>
          <w:color w:val="auto"/>
        </w:rPr>
        <w:t>Exhibit A</w:t>
      </w:r>
      <w:r>
        <w:rPr>
          <w:rFonts w:ascii="Calibri" w:cs="Calibri" w:eastAsia="Calibri" w:hAnsi="Calibri"/>
          <w:sz w:val="22"/>
          <w:szCs w:val="22"/>
          <w:color w:val="auto"/>
        </w:rPr>
        <w:t>).</w:t>
      </w:r>
    </w:p>
    <w:p>
      <w:pPr>
        <w:spacing w:after="0" w:line="219" w:lineRule="exact"/>
        <w:rPr>
          <w:rFonts w:ascii="Calibri" w:cs="Calibri" w:eastAsia="Calibri" w:hAnsi="Calibri"/>
          <w:sz w:val="22"/>
          <w:szCs w:val="22"/>
          <w:color w:val="auto"/>
        </w:rPr>
      </w:pPr>
    </w:p>
    <w:p>
      <w:pPr>
        <w:jc w:val="both"/>
        <w:ind w:firstLine="1304"/>
        <w:spacing w:after="0" w:line="230" w:lineRule="auto"/>
        <w:tabs>
          <w:tab w:leader="none" w:pos="1932" w:val="left"/>
        </w:tabs>
        <w:numPr>
          <w:ilvl w:val="0"/>
          <w:numId w:val="130"/>
        </w:numPr>
        <w:rPr>
          <w:rFonts w:ascii="Calibri" w:cs="Calibri" w:eastAsia="Calibri" w:hAnsi="Calibri"/>
          <w:sz w:val="22"/>
          <w:szCs w:val="22"/>
          <w:color w:val="auto"/>
        </w:rPr>
      </w:pPr>
      <w:r>
        <w:rPr>
          <w:rFonts w:ascii="Calibri" w:cs="Calibri" w:eastAsia="Calibri" w:hAnsi="Calibri"/>
          <w:sz w:val="22"/>
          <w:szCs w:val="22"/>
          <w:u w:val="single" w:color="auto"/>
          <w:color w:val="auto"/>
        </w:rPr>
        <w:t>Status of 2024 LTIP Units (SB)</w:t>
      </w:r>
      <w:r>
        <w:rPr>
          <w:rFonts w:ascii="Calibri" w:cs="Calibri" w:eastAsia="Calibri" w:hAnsi="Calibri"/>
          <w:sz w:val="22"/>
          <w:szCs w:val="22"/>
          <w:color w:val="auto"/>
        </w:rPr>
        <w:t xml:space="preserve">. The Company will have the right at its opton, as set forth in the Partnership Agreement, to issue shares of Common Stock in exchange for Units into which 2024 LTIP Units (SB) may have been converted pursuant to the Partnership Agreement, subject to certain limitatons set forth in the Partnership Agreement. For the avoidance of doubt, such shares of Common Stock, if issued, will be issued from the Company’s authorized shares of Common Stock. The Grantee must be eligible to receive the 2024 LTIP Units (SB) in compliance with applicable federal and state securites laws and to that efect is required to complete, execute and deliver certain covenants, representatons and warrantes (atached as </w:t>
      </w:r>
      <w:r>
        <w:rPr>
          <w:rFonts w:ascii="Calibri" w:cs="Calibri" w:eastAsia="Calibri" w:hAnsi="Calibri"/>
          <w:sz w:val="22"/>
          <w:szCs w:val="22"/>
          <w:u w:val="single" w:color="auto"/>
          <w:color w:val="auto"/>
        </w:rPr>
        <w:t>Exhibit B</w:t>
      </w:r>
      <w:r>
        <w:rPr>
          <w:rFonts w:ascii="Calibri" w:cs="Calibri" w:eastAsia="Calibri" w:hAnsi="Calibri"/>
          <w:sz w:val="22"/>
          <w:szCs w:val="22"/>
          <w:color w:val="auto"/>
        </w:rPr>
        <w:t>). The Grantee acknowledges that the Grantee will have no right to approve or disapprove such determinaton by the Commitee.</w:t>
      </w:r>
    </w:p>
    <w:p>
      <w:pPr>
        <w:spacing w:after="0" w:line="236" w:lineRule="exact"/>
        <w:rPr>
          <w:rFonts w:ascii="Calibri" w:cs="Calibri" w:eastAsia="Calibri" w:hAnsi="Calibri"/>
          <w:sz w:val="22"/>
          <w:szCs w:val="22"/>
          <w:color w:val="auto"/>
        </w:rPr>
      </w:pPr>
    </w:p>
    <w:p>
      <w:pPr>
        <w:jc w:val="both"/>
        <w:ind w:firstLine="1304"/>
        <w:spacing w:after="0" w:line="229" w:lineRule="auto"/>
        <w:tabs>
          <w:tab w:leader="none" w:pos="1939" w:val="left"/>
        </w:tabs>
        <w:numPr>
          <w:ilvl w:val="0"/>
          <w:numId w:val="130"/>
        </w:numPr>
        <w:rPr>
          <w:rFonts w:ascii="Calibri" w:cs="Calibri" w:eastAsia="Calibri" w:hAnsi="Calibri"/>
          <w:sz w:val="22"/>
          <w:szCs w:val="22"/>
          <w:color w:val="auto"/>
        </w:rPr>
      </w:pPr>
      <w:r>
        <w:rPr>
          <w:rFonts w:ascii="Calibri" w:cs="Calibri" w:eastAsia="Calibri" w:hAnsi="Calibri"/>
          <w:sz w:val="22"/>
          <w:szCs w:val="22"/>
          <w:u w:val="single" w:color="auto"/>
          <w:color w:val="auto"/>
        </w:rPr>
        <w:t>Legend</w:t>
      </w:r>
      <w:r>
        <w:rPr>
          <w:rFonts w:ascii="Calibri" w:cs="Calibri" w:eastAsia="Calibri" w:hAnsi="Calibri"/>
          <w:sz w:val="22"/>
          <w:szCs w:val="22"/>
          <w:color w:val="auto"/>
        </w:rPr>
        <w:t>. The records of the Partnership evidencing the 2024 LTIP Units (SB) shall bear an appropriate legend, as determined by the Partnership in its sole discreton, to the efect that such 2024 LTIP Units (SB) are subject to restrictons as set forth herein, in the Stock Plan and in the Partnership Agreement.</w:t>
      </w:r>
    </w:p>
    <w:p>
      <w:pPr>
        <w:spacing w:after="0" w:line="216" w:lineRule="exact"/>
        <w:rPr>
          <w:rFonts w:ascii="Calibri" w:cs="Calibri" w:eastAsia="Calibri" w:hAnsi="Calibri"/>
          <w:sz w:val="22"/>
          <w:szCs w:val="22"/>
          <w:color w:val="auto"/>
        </w:rPr>
      </w:pPr>
    </w:p>
    <w:p>
      <w:pPr>
        <w:jc w:val="both"/>
        <w:ind w:firstLine="1304"/>
        <w:spacing w:after="0" w:line="246" w:lineRule="auto"/>
        <w:tabs>
          <w:tab w:leader="none" w:pos="1941" w:val="left"/>
        </w:tabs>
        <w:numPr>
          <w:ilvl w:val="0"/>
          <w:numId w:val="130"/>
        </w:numPr>
        <w:rPr>
          <w:rFonts w:ascii="Calibri" w:cs="Calibri" w:eastAsia="Calibri" w:hAnsi="Calibri"/>
          <w:sz w:val="21"/>
          <w:szCs w:val="21"/>
          <w:color w:val="auto"/>
        </w:rPr>
      </w:pPr>
      <w:r>
        <w:rPr>
          <w:rFonts w:ascii="Calibri" w:cs="Calibri" w:eastAsia="Calibri" w:hAnsi="Calibri"/>
          <w:sz w:val="21"/>
          <w:szCs w:val="21"/>
          <w:u w:val="single" w:color="auto"/>
          <w:color w:val="auto"/>
        </w:rPr>
        <w:t>Compliance With Securites Laws</w:t>
      </w:r>
      <w:r>
        <w:rPr>
          <w:rFonts w:ascii="Calibri" w:cs="Calibri" w:eastAsia="Calibri" w:hAnsi="Calibri"/>
          <w:sz w:val="21"/>
          <w:szCs w:val="21"/>
          <w:color w:val="auto"/>
        </w:rPr>
        <w:t>. The Partnership and the Grantee will make reasonable eforts to comply with all applicable securites laws. In additon, notwithstanding any provision of this Agreement to the contrary, no 2024 LTIP Units (SB) will become vested or be issued at a tme that such vestng or issuance would result in a violaton of any such laws.</w:t>
      </w:r>
    </w:p>
    <w:p>
      <w:pPr>
        <w:spacing w:after="0" w:line="210" w:lineRule="exact"/>
        <w:rPr>
          <w:rFonts w:ascii="Calibri" w:cs="Calibri" w:eastAsia="Calibri" w:hAnsi="Calibri"/>
          <w:sz w:val="21"/>
          <w:szCs w:val="21"/>
          <w:color w:val="auto"/>
        </w:rPr>
      </w:pPr>
    </w:p>
    <w:p>
      <w:pPr>
        <w:jc w:val="both"/>
        <w:ind w:firstLine="1304"/>
        <w:spacing w:after="0" w:line="231" w:lineRule="auto"/>
        <w:tabs>
          <w:tab w:leader="none" w:pos="1935" w:val="left"/>
        </w:tabs>
        <w:numPr>
          <w:ilvl w:val="0"/>
          <w:numId w:val="130"/>
        </w:numPr>
        <w:rPr>
          <w:rFonts w:ascii="Calibri" w:cs="Calibri" w:eastAsia="Calibri" w:hAnsi="Calibri"/>
          <w:sz w:val="22"/>
          <w:szCs w:val="22"/>
          <w:color w:val="auto"/>
        </w:rPr>
      </w:pPr>
      <w:r>
        <w:rPr>
          <w:rFonts w:ascii="Calibri" w:cs="Calibri" w:eastAsia="Calibri" w:hAnsi="Calibri"/>
          <w:sz w:val="22"/>
          <w:szCs w:val="22"/>
          <w:u w:val="single" w:color="auto"/>
          <w:color w:val="auto"/>
        </w:rPr>
        <w:t>Investment Representatons; Registraton</w:t>
      </w:r>
      <w:r>
        <w:rPr>
          <w:rFonts w:ascii="Calibri" w:cs="Calibri" w:eastAsia="Calibri" w:hAnsi="Calibri"/>
          <w:sz w:val="22"/>
          <w:szCs w:val="22"/>
          <w:color w:val="auto"/>
        </w:rPr>
        <w:t xml:space="preserve">. The Grantee hereby makes the covenants, representatons and warrantes set forth on </w:t>
      </w:r>
      <w:r>
        <w:rPr>
          <w:rFonts w:ascii="Calibri" w:cs="Calibri" w:eastAsia="Calibri" w:hAnsi="Calibri"/>
          <w:sz w:val="22"/>
          <w:szCs w:val="22"/>
          <w:u w:val="single" w:color="auto"/>
          <w:color w:val="auto"/>
        </w:rPr>
        <w:t>Exhibit B</w:t>
      </w:r>
      <w:r>
        <w:rPr>
          <w:rFonts w:ascii="Calibri" w:cs="Calibri" w:eastAsia="Calibri" w:hAnsi="Calibri"/>
          <w:sz w:val="22"/>
          <w:szCs w:val="22"/>
          <w:color w:val="auto"/>
        </w:rPr>
        <w:t xml:space="preserve"> atached hereto. All of such covenants, warrantes and representatons shall survive the executon and delivery of this Agreement by the Grantee. The Partnership will have no obligaton to register under the Securites Act any 2024 LTIP Units (SB) or any other securites issued pursuant to this Agreement or upon conversion or exchange of 2024 LTIP Units (SB). The Grantee agrees that any resale of the shares of Common Stock received upon the exchange of Units into which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10</w:t>
      </w:r>
    </w:p>
    <w:p>
      <w:pPr>
        <w:sectPr>
          <w:pgSz w:w="11900" w:h="16838" w:orient="portrait"/>
          <w:cols w:equalWidth="0" w:num="1">
            <w:col w:w="11240"/>
          </w:cols>
          <w:pgMar w:left="320" w:top="1407" w:right="339" w:bottom="1440" w:gutter="0" w:footer="0" w:header="0"/>
        </w:sectPr>
      </w:pPr>
    </w:p>
    <w:bookmarkStart w:id="118" w:name="page119"/>
    <w:bookmarkEnd w:id="118"/>
    <w:p>
      <w:pPr>
        <w:jc w:val="both"/>
        <w:spacing w:after="0" w:line="232" w:lineRule="auto"/>
        <w:rPr>
          <w:sz w:val="20"/>
          <w:szCs w:val="20"/>
          <w:color w:val="auto"/>
        </w:rPr>
      </w:pPr>
      <w:r>
        <w:rPr>
          <w:rFonts w:ascii="Calibri" w:cs="Calibri" w:eastAsia="Calibri" w:hAnsi="Calibri"/>
          <w:sz w:val="22"/>
          <w:szCs w:val="22"/>
          <w:color w:val="auto"/>
        </w:rPr>
        <w:t>LTIP Units (SB) may be converted shall not occur during the “blackout periods” forbidding sales of Company securites, as set forth in the then applicable Company employee manual or insider trading policy. In additon, any resale shall be made in compliance with the registraton requirements of the Securites Act or an applicable exempton therefrom, including, without limitaton, the exempton provided by Rule 144 promulgated thereunder (or any successor rule).</w:t>
      </w:r>
    </w:p>
    <w:p>
      <w:pPr>
        <w:spacing w:after="0" w:line="217" w:lineRule="exact"/>
        <w:rPr>
          <w:sz w:val="20"/>
          <w:szCs w:val="20"/>
          <w:color w:val="auto"/>
        </w:rPr>
      </w:pPr>
    </w:p>
    <w:p>
      <w:pPr>
        <w:jc w:val="both"/>
        <w:ind w:firstLine="1304"/>
        <w:spacing w:after="0" w:line="231" w:lineRule="auto"/>
        <w:tabs>
          <w:tab w:leader="none" w:pos="1932" w:val="left"/>
        </w:tabs>
        <w:numPr>
          <w:ilvl w:val="0"/>
          <w:numId w:val="131"/>
        </w:numPr>
        <w:rPr>
          <w:rFonts w:ascii="Calibri" w:cs="Calibri" w:eastAsia="Calibri" w:hAnsi="Calibri"/>
          <w:sz w:val="22"/>
          <w:szCs w:val="22"/>
          <w:color w:val="auto"/>
        </w:rPr>
      </w:pPr>
      <w:r>
        <w:rPr>
          <w:rFonts w:ascii="Calibri" w:cs="Calibri" w:eastAsia="Calibri" w:hAnsi="Calibri"/>
          <w:sz w:val="22"/>
          <w:szCs w:val="22"/>
          <w:u w:val="single" w:color="auto"/>
          <w:color w:val="auto"/>
        </w:rPr>
        <w:t>Secton 83(b) Electon</w:t>
      </w:r>
      <w:r>
        <w:rPr>
          <w:rFonts w:ascii="Calibri" w:cs="Calibri" w:eastAsia="Calibri" w:hAnsi="Calibri"/>
          <w:sz w:val="22"/>
          <w:szCs w:val="22"/>
          <w:color w:val="auto"/>
        </w:rPr>
        <w:t xml:space="preserve">. In connecton with the issuance of 2024 LTIP Units (SB) under this Award pursuant to </w:t>
      </w:r>
      <w:r>
        <w:rPr>
          <w:rFonts w:ascii="Calibri" w:cs="Calibri" w:eastAsia="Calibri" w:hAnsi="Calibri"/>
          <w:sz w:val="22"/>
          <w:szCs w:val="22"/>
          <w:u w:val="single" w:color="auto"/>
          <w:color w:val="auto"/>
        </w:rPr>
        <w:t>Secton 3</w:t>
      </w:r>
      <w:r>
        <w:rPr>
          <w:rFonts w:ascii="Calibri" w:cs="Calibri" w:eastAsia="Calibri" w:hAnsi="Calibri"/>
          <w:sz w:val="22"/>
          <w:szCs w:val="22"/>
          <w:color w:val="auto"/>
        </w:rPr>
        <w:t xml:space="preserve"> hereof the Grantee may (but is not required to) make an electon to include in gross income in the year of transfer the applicable 2024 LTIP Units (SB) pursuant to Secton 83(b) of the Code substantally in the form atached hereto as </w:t>
      </w:r>
      <w:r>
        <w:rPr>
          <w:rFonts w:ascii="Calibri" w:cs="Calibri" w:eastAsia="Calibri" w:hAnsi="Calibri"/>
          <w:sz w:val="22"/>
          <w:szCs w:val="22"/>
          <w:u w:val="single" w:color="auto"/>
          <w:color w:val="auto"/>
        </w:rPr>
        <w:t>Exhibit C</w:t>
      </w:r>
      <w:r>
        <w:rPr>
          <w:rFonts w:ascii="Calibri" w:cs="Calibri" w:eastAsia="Calibri" w:hAnsi="Calibri"/>
          <w:sz w:val="22"/>
          <w:szCs w:val="22"/>
          <w:color w:val="auto"/>
        </w:rPr>
        <w:t xml:space="preserve"> and, if such an electon is made, the Grantee shall provide to the Company a copy thereof and supply to the Company such other informaton as the Company is required to maintain or fle in accordance with the regulatons promulgated thereunder.</w:t>
      </w:r>
    </w:p>
    <w:p>
      <w:pPr>
        <w:spacing w:after="0" w:line="219" w:lineRule="exact"/>
        <w:rPr>
          <w:rFonts w:ascii="Calibri" w:cs="Calibri" w:eastAsia="Calibri" w:hAnsi="Calibri"/>
          <w:sz w:val="22"/>
          <w:szCs w:val="22"/>
          <w:color w:val="auto"/>
        </w:rPr>
      </w:pPr>
    </w:p>
    <w:p>
      <w:pPr>
        <w:jc w:val="both"/>
        <w:ind w:firstLine="1304"/>
        <w:spacing w:after="0" w:line="229" w:lineRule="auto"/>
        <w:tabs>
          <w:tab w:leader="none" w:pos="1936" w:val="left"/>
        </w:tabs>
        <w:numPr>
          <w:ilvl w:val="0"/>
          <w:numId w:val="131"/>
        </w:numPr>
        <w:rPr>
          <w:rFonts w:ascii="Calibri" w:cs="Calibri" w:eastAsia="Calibri" w:hAnsi="Calibri"/>
          <w:sz w:val="22"/>
          <w:szCs w:val="22"/>
          <w:color w:val="auto"/>
        </w:rPr>
      </w:pPr>
      <w:r>
        <w:rPr>
          <w:rFonts w:ascii="Calibri" w:cs="Calibri" w:eastAsia="Calibri" w:hAnsi="Calibri"/>
          <w:sz w:val="22"/>
          <w:szCs w:val="22"/>
          <w:u w:val="single" w:color="auto"/>
          <w:color w:val="auto"/>
        </w:rPr>
        <w:t>Severability</w:t>
      </w:r>
      <w:r>
        <w:rPr>
          <w:rFonts w:ascii="Calibri" w:cs="Calibri" w:eastAsia="Calibri" w:hAnsi="Calibri"/>
          <w:sz w:val="22"/>
          <w:szCs w:val="22"/>
          <w:color w:val="auto"/>
        </w:rPr>
        <w:t>. If, for any reason, any provision of this Agreement is held invalid, such invalidity shall not afect any other provision of this Agreement not so held invalid, and each such other provision shall to the full extent consistent with law contnue in full force and efect. If any provision of this Agreement shall be held invalid in part, such invalidity shall in no way afect the rest of such provision not held so invalid, and the rest of such provision, together with all other provisions of this Agreement, shall to the full extent consistent with law contnue in full force and efect.</w:t>
      </w:r>
    </w:p>
    <w:p>
      <w:pPr>
        <w:spacing w:after="0" w:line="230" w:lineRule="exact"/>
        <w:rPr>
          <w:rFonts w:ascii="Calibri" w:cs="Calibri" w:eastAsia="Calibri" w:hAnsi="Calibri"/>
          <w:sz w:val="22"/>
          <w:szCs w:val="22"/>
          <w:color w:val="auto"/>
        </w:rPr>
      </w:pPr>
    </w:p>
    <w:p>
      <w:pPr>
        <w:ind w:right="20" w:firstLine="1304"/>
        <w:spacing w:after="0" w:line="229" w:lineRule="auto"/>
        <w:tabs>
          <w:tab w:leader="none" w:pos="1944" w:val="left"/>
        </w:tabs>
        <w:numPr>
          <w:ilvl w:val="0"/>
          <w:numId w:val="131"/>
        </w:numPr>
        <w:rPr>
          <w:rFonts w:ascii="Calibri" w:cs="Calibri" w:eastAsia="Calibri" w:hAnsi="Calibri"/>
          <w:sz w:val="22"/>
          <w:szCs w:val="22"/>
          <w:color w:val="auto"/>
        </w:rPr>
      </w:pPr>
      <w:r>
        <w:rPr>
          <w:rFonts w:ascii="Calibri" w:cs="Calibri" w:eastAsia="Calibri" w:hAnsi="Calibri"/>
          <w:sz w:val="22"/>
          <w:szCs w:val="22"/>
          <w:u w:val="single" w:color="auto"/>
          <w:color w:val="auto"/>
        </w:rPr>
        <w:t>Governing Law</w:t>
      </w:r>
      <w:r>
        <w:rPr>
          <w:rFonts w:ascii="Calibri" w:cs="Calibri" w:eastAsia="Calibri" w:hAnsi="Calibri"/>
          <w:sz w:val="22"/>
          <w:szCs w:val="22"/>
          <w:color w:val="auto"/>
        </w:rPr>
        <w:t>. This Agreement is made under, and will be construed in accordance with, the laws of the State of Delaware, without giving efect to the principles of confict of laws of such state.</w:t>
      </w:r>
    </w:p>
    <w:p>
      <w:pPr>
        <w:spacing w:after="0" w:line="216" w:lineRule="exact"/>
        <w:rPr>
          <w:rFonts w:ascii="Calibri" w:cs="Calibri" w:eastAsia="Calibri" w:hAnsi="Calibri"/>
          <w:sz w:val="22"/>
          <w:szCs w:val="22"/>
          <w:color w:val="auto"/>
        </w:rPr>
      </w:pPr>
    </w:p>
    <w:p>
      <w:pPr>
        <w:jc w:val="both"/>
        <w:ind w:firstLine="1304"/>
        <w:spacing w:after="0" w:line="232" w:lineRule="auto"/>
        <w:tabs>
          <w:tab w:leader="none" w:pos="1944" w:val="left"/>
        </w:tabs>
        <w:numPr>
          <w:ilvl w:val="0"/>
          <w:numId w:val="131"/>
        </w:numPr>
        <w:rPr>
          <w:rFonts w:ascii="Calibri" w:cs="Calibri" w:eastAsia="Calibri" w:hAnsi="Calibri"/>
          <w:sz w:val="22"/>
          <w:szCs w:val="22"/>
          <w:color w:val="auto"/>
        </w:rPr>
      </w:pPr>
      <w:r>
        <w:rPr>
          <w:rFonts w:ascii="Calibri" w:cs="Calibri" w:eastAsia="Calibri" w:hAnsi="Calibri"/>
          <w:sz w:val="22"/>
          <w:szCs w:val="22"/>
          <w:u w:val="single" w:color="auto"/>
          <w:color w:val="auto"/>
        </w:rPr>
        <w:t>No Obligaton to Contnue Positon as an Employee, Consultant or Advisor</w:t>
      </w:r>
      <w:r>
        <w:rPr>
          <w:rFonts w:ascii="Calibri" w:cs="Calibri" w:eastAsia="Calibri" w:hAnsi="Calibri"/>
          <w:sz w:val="22"/>
          <w:szCs w:val="22"/>
          <w:color w:val="auto"/>
        </w:rPr>
        <w:t>. Neither the Company nor any afliate is obligated by or as a result of this Agreement to contnue to have the Grantee as an employee, consultant or advisor and this Agreement shall not interfere in any way with the right of the Company or any afliate to terminate the Grantee’s service relatonship at any tme.</w:t>
      </w:r>
    </w:p>
    <w:p>
      <w:pPr>
        <w:spacing w:after="0" w:line="217" w:lineRule="exact"/>
        <w:rPr>
          <w:rFonts w:ascii="Calibri" w:cs="Calibri" w:eastAsia="Calibri" w:hAnsi="Calibri"/>
          <w:sz w:val="22"/>
          <w:szCs w:val="22"/>
          <w:color w:val="auto"/>
        </w:rPr>
      </w:pPr>
    </w:p>
    <w:p>
      <w:pPr>
        <w:jc w:val="both"/>
        <w:ind w:firstLine="1304"/>
        <w:spacing w:after="0" w:line="229" w:lineRule="auto"/>
        <w:tabs>
          <w:tab w:leader="none" w:pos="1936" w:val="left"/>
        </w:tabs>
        <w:numPr>
          <w:ilvl w:val="0"/>
          <w:numId w:val="131"/>
        </w:numPr>
        <w:rPr>
          <w:rFonts w:ascii="Calibri" w:cs="Calibri" w:eastAsia="Calibri" w:hAnsi="Calibri"/>
          <w:sz w:val="22"/>
          <w:szCs w:val="22"/>
          <w:color w:val="auto"/>
        </w:rPr>
      </w:pPr>
      <w:r>
        <w:rPr>
          <w:rFonts w:ascii="Calibri" w:cs="Calibri" w:eastAsia="Calibri" w:hAnsi="Calibri"/>
          <w:sz w:val="22"/>
          <w:szCs w:val="22"/>
          <w:u w:val="single" w:color="auto"/>
          <w:color w:val="auto"/>
        </w:rPr>
        <w:t>Notces</w:t>
      </w:r>
      <w:r>
        <w:rPr>
          <w:rFonts w:ascii="Calibri" w:cs="Calibri" w:eastAsia="Calibri" w:hAnsi="Calibri"/>
          <w:sz w:val="22"/>
          <w:szCs w:val="22"/>
          <w:color w:val="auto"/>
        </w:rPr>
        <w:t>. Any notce to be given to the Company shall be addressed to the Secretary of the Company at its principal place of business and any notce to be given the Grantee shall be addressed to the Grantee at the Grantee’s address as it appears on the employment records of the Company, or at such other address as the Company or the Grantee may hereafer designate in writng to the other.</w:t>
      </w:r>
    </w:p>
    <w:p>
      <w:pPr>
        <w:spacing w:after="0" w:line="230" w:lineRule="exact"/>
        <w:rPr>
          <w:rFonts w:ascii="Calibri" w:cs="Calibri" w:eastAsia="Calibri" w:hAnsi="Calibri"/>
          <w:sz w:val="22"/>
          <w:szCs w:val="22"/>
          <w:color w:val="auto"/>
        </w:rPr>
      </w:pPr>
    </w:p>
    <w:p>
      <w:pPr>
        <w:jc w:val="both"/>
        <w:ind w:firstLine="1304"/>
        <w:spacing w:after="0" w:line="229" w:lineRule="auto"/>
        <w:tabs>
          <w:tab w:leader="none" w:pos="1937" w:val="left"/>
        </w:tabs>
        <w:numPr>
          <w:ilvl w:val="0"/>
          <w:numId w:val="131"/>
        </w:numPr>
        <w:rPr>
          <w:rFonts w:ascii="Calibri" w:cs="Calibri" w:eastAsia="Calibri" w:hAnsi="Calibri"/>
          <w:sz w:val="22"/>
          <w:szCs w:val="22"/>
          <w:color w:val="auto"/>
        </w:rPr>
      </w:pPr>
      <w:r>
        <w:rPr>
          <w:rFonts w:ascii="Calibri" w:cs="Calibri" w:eastAsia="Calibri" w:hAnsi="Calibri"/>
          <w:sz w:val="22"/>
          <w:szCs w:val="22"/>
          <w:u w:val="single" w:color="auto"/>
          <w:color w:val="auto"/>
        </w:rPr>
        <w:t>Withholding and Taxes</w:t>
      </w:r>
      <w:r>
        <w:rPr>
          <w:rFonts w:ascii="Calibri" w:cs="Calibri" w:eastAsia="Calibri" w:hAnsi="Calibri"/>
          <w:sz w:val="22"/>
          <w:szCs w:val="22"/>
          <w:color w:val="auto"/>
        </w:rPr>
        <w:t>. No later than the date as of which an amount frst becomes includible in the gross income of the Grantee for income tax purposes or subject to the Federal Insurance Contributons Act withholding with respect to this Award, the Grantee will pay to the Company or, if appropriate, any of its afliates, or make arrangements satsfactory to the Commitee regarding the payment of, any United States federal, state or local or foreign taxes of any kind required by law to be withheld with respect to such amount. The obligatons of the Company under this Agreement will be conditonal on such payment 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11</w:t>
      </w:r>
    </w:p>
    <w:p>
      <w:pPr>
        <w:sectPr>
          <w:pgSz w:w="11900" w:h="16838" w:orient="portrait"/>
          <w:cols w:equalWidth="0" w:num="1">
            <w:col w:w="11240"/>
          </w:cols>
          <w:pgMar w:left="320" w:top="1407" w:right="339" w:bottom="1440" w:gutter="0" w:footer="0" w:header="0"/>
        </w:sectPr>
      </w:pPr>
    </w:p>
    <w:bookmarkStart w:id="119" w:name="page120"/>
    <w:bookmarkEnd w:id="119"/>
    <w:p>
      <w:pPr>
        <w:spacing w:after="0" w:line="229" w:lineRule="auto"/>
        <w:rPr>
          <w:sz w:val="20"/>
          <w:szCs w:val="20"/>
          <w:color w:val="auto"/>
        </w:rPr>
      </w:pPr>
      <w:r>
        <w:rPr>
          <w:rFonts w:ascii="Calibri" w:cs="Calibri" w:eastAsia="Calibri" w:hAnsi="Calibri"/>
          <w:sz w:val="22"/>
          <w:szCs w:val="22"/>
          <w:color w:val="auto"/>
        </w:rPr>
        <w:t>arrangements, and the Company and its afliates shall, to the extent permited by law, have the right to deduct any such taxes from any payment otherwise due to the Grantee.</w:t>
      </w:r>
    </w:p>
    <w:p>
      <w:pPr>
        <w:spacing w:after="0" w:line="217" w:lineRule="exact"/>
        <w:rPr>
          <w:sz w:val="20"/>
          <w:szCs w:val="20"/>
          <w:color w:val="auto"/>
        </w:rPr>
      </w:pPr>
    </w:p>
    <w:p>
      <w:pPr>
        <w:ind w:firstLine="1304"/>
        <w:spacing w:after="0" w:line="235" w:lineRule="auto"/>
        <w:tabs>
          <w:tab w:leader="none" w:pos="1932" w:val="left"/>
        </w:tabs>
        <w:numPr>
          <w:ilvl w:val="0"/>
          <w:numId w:val="132"/>
        </w:numPr>
        <w:rPr>
          <w:rFonts w:ascii="Calibri" w:cs="Calibri" w:eastAsia="Calibri" w:hAnsi="Calibri"/>
          <w:sz w:val="22"/>
          <w:szCs w:val="22"/>
          <w:color w:val="auto"/>
        </w:rPr>
      </w:pPr>
      <w:r>
        <w:rPr>
          <w:rFonts w:ascii="Calibri" w:cs="Calibri" w:eastAsia="Calibri" w:hAnsi="Calibri"/>
          <w:sz w:val="22"/>
          <w:szCs w:val="22"/>
          <w:u w:val="single" w:color="auto"/>
          <w:color w:val="auto"/>
        </w:rPr>
        <w:t>Headings</w:t>
      </w:r>
      <w:r>
        <w:rPr>
          <w:rFonts w:ascii="Calibri" w:cs="Calibri" w:eastAsia="Calibri" w:hAnsi="Calibri"/>
          <w:sz w:val="22"/>
          <w:szCs w:val="22"/>
          <w:color w:val="auto"/>
        </w:rPr>
        <w:t>. The headings of paragraphs hereof are included solely for convenience of reference and shall not control the meaning or interpretaton of any of the provisions of this Agreement.</w:t>
      </w:r>
    </w:p>
    <w:p>
      <w:pPr>
        <w:spacing w:after="0" w:line="216" w:lineRule="exact"/>
        <w:rPr>
          <w:rFonts w:ascii="Calibri" w:cs="Calibri" w:eastAsia="Calibri" w:hAnsi="Calibri"/>
          <w:sz w:val="22"/>
          <w:szCs w:val="22"/>
          <w:color w:val="auto"/>
        </w:rPr>
      </w:pPr>
    </w:p>
    <w:p>
      <w:pPr>
        <w:jc w:val="both"/>
        <w:ind w:right="20" w:firstLine="1304"/>
        <w:spacing w:after="0" w:line="229" w:lineRule="auto"/>
        <w:tabs>
          <w:tab w:leader="none" w:pos="1932" w:val="left"/>
        </w:tabs>
        <w:numPr>
          <w:ilvl w:val="0"/>
          <w:numId w:val="132"/>
        </w:numPr>
        <w:rPr>
          <w:rFonts w:ascii="Calibri" w:cs="Calibri" w:eastAsia="Calibri" w:hAnsi="Calibri"/>
          <w:sz w:val="22"/>
          <w:szCs w:val="22"/>
          <w:color w:val="auto"/>
        </w:rPr>
      </w:pPr>
      <w:r>
        <w:rPr>
          <w:rFonts w:ascii="Calibri" w:cs="Calibri" w:eastAsia="Calibri" w:hAnsi="Calibri"/>
          <w:sz w:val="22"/>
          <w:szCs w:val="22"/>
          <w:u w:val="single" w:color="auto"/>
          <w:color w:val="auto"/>
        </w:rPr>
        <w:t>Counterparts</w:t>
      </w:r>
      <w:r>
        <w:rPr>
          <w:rFonts w:ascii="Calibri" w:cs="Calibri" w:eastAsia="Calibri" w:hAnsi="Calibri"/>
          <w:sz w:val="22"/>
          <w:szCs w:val="22"/>
          <w:color w:val="auto"/>
        </w:rPr>
        <w:t>. This Agreement may be executed in multple counterparts with the same efect as if each of the signing partes had signed the same document. All counterparts shall be construed together and consttute the same instrument.</w:t>
      </w:r>
    </w:p>
    <w:p>
      <w:pPr>
        <w:spacing w:after="0" w:line="216" w:lineRule="exact"/>
        <w:rPr>
          <w:rFonts w:ascii="Calibri" w:cs="Calibri" w:eastAsia="Calibri" w:hAnsi="Calibri"/>
          <w:sz w:val="22"/>
          <w:szCs w:val="22"/>
          <w:color w:val="auto"/>
        </w:rPr>
      </w:pPr>
    </w:p>
    <w:p>
      <w:pPr>
        <w:jc w:val="both"/>
        <w:ind w:firstLine="1304"/>
        <w:spacing w:after="0" w:line="232" w:lineRule="auto"/>
        <w:tabs>
          <w:tab w:leader="none" w:pos="1932" w:val="left"/>
        </w:tabs>
        <w:numPr>
          <w:ilvl w:val="0"/>
          <w:numId w:val="132"/>
        </w:numPr>
        <w:rPr>
          <w:rFonts w:ascii="Calibri" w:cs="Calibri" w:eastAsia="Calibri" w:hAnsi="Calibri"/>
          <w:sz w:val="22"/>
          <w:szCs w:val="22"/>
          <w:color w:val="auto"/>
        </w:rPr>
      </w:pPr>
      <w:r>
        <w:rPr>
          <w:rFonts w:ascii="Calibri" w:cs="Calibri" w:eastAsia="Calibri" w:hAnsi="Calibri"/>
          <w:sz w:val="22"/>
          <w:szCs w:val="22"/>
          <w:u w:val="single" w:color="auto"/>
          <w:color w:val="auto"/>
        </w:rPr>
        <w:t>Successors and Assigns</w:t>
      </w:r>
      <w:r>
        <w:rPr>
          <w:rFonts w:ascii="Calibri" w:cs="Calibri" w:eastAsia="Calibri" w:hAnsi="Calibri"/>
          <w:sz w:val="22"/>
          <w:szCs w:val="22"/>
          <w:color w:val="auto"/>
        </w:rPr>
        <w:t>. This Agreement shall be binding upon and inure to the beneft of the partes hereto and any successors to the Company and the Partnership, on the one hand, and any successors to the Grantee, on the other hand, by will or the laws of descent and distributon, but this Agreement shall not otherwise be assignable or otherwise subject to hypothecaton by the Grantee.</w:t>
      </w:r>
    </w:p>
    <w:p>
      <w:pPr>
        <w:spacing w:after="0" w:line="217" w:lineRule="exact"/>
        <w:rPr>
          <w:rFonts w:ascii="Calibri" w:cs="Calibri" w:eastAsia="Calibri" w:hAnsi="Calibri"/>
          <w:sz w:val="22"/>
          <w:szCs w:val="22"/>
          <w:color w:val="auto"/>
        </w:rPr>
      </w:pPr>
    </w:p>
    <w:p>
      <w:pPr>
        <w:jc w:val="both"/>
        <w:ind w:firstLine="1304"/>
        <w:spacing w:after="0" w:line="231" w:lineRule="auto"/>
        <w:tabs>
          <w:tab w:leader="none" w:pos="1932" w:val="left"/>
        </w:tabs>
        <w:numPr>
          <w:ilvl w:val="0"/>
          <w:numId w:val="132"/>
        </w:numPr>
        <w:rPr>
          <w:rFonts w:ascii="Calibri" w:cs="Calibri" w:eastAsia="Calibri" w:hAnsi="Calibri"/>
          <w:sz w:val="22"/>
          <w:szCs w:val="22"/>
          <w:color w:val="auto"/>
        </w:rPr>
      </w:pPr>
      <w:r>
        <w:rPr>
          <w:rFonts w:ascii="Calibri" w:cs="Calibri" w:eastAsia="Calibri" w:hAnsi="Calibri"/>
          <w:sz w:val="22"/>
          <w:szCs w:val="22"/>
          <w:u w:val="single" w:color="auto"/>
          <w:color w:val="auto"/>
        </w:rPr>
        <w:t>409A</w:t>
      </w:r>
      <w:r>
        <w:rPr>
          <w:rFonts w:ascii="Calibri" w:cs="Calibri" w:eastAsia="Calibri" w:hAnsi="Calibri"/>
          <w:sz w:val="22"/>
          <w:szCs w:val="22"/>
          <w:color w:val="auto"/>
        </w:rPr>
        <w:t>. To the extent applicable, this Agreement shall be construed, administered and interpreted in accordance with a good faith interpretaton of Secton 409A of the Code. Any provision of this Agreement that is inconsistent with Secton 409A of the Code, to the extent applicable, or that may result in penaltes under Secton 409A of the Code, shall be amended, in consultaton with the Grantee and with the reasonable cooperaton of the Grantee and the Company, in the least restrictve manner necessary to (i) exclude the applicable payment or beneft under this Agreement from the defniton of “deferred compensaton” within the meaning of such Secton 409A or (ii) comply with the provisions of Secton 409A, other applicable provision(s) of the Code and/or any rules, regulatons or other regulatory guidance issued under such statutory provisions, in each case without diminuton in the value of the benefts granted hereby to the Grantee. Notwithstanding anything herein to the contrary, in the event the amounts payable under this Agreement are determined to consttute “nonqualifed deferred compensaton” subject to Secton 409A of the Code, then, to the extent the Grantee is a “specifed employee” under Secton 409A of the Code subject to the six-month delay thereunder, any such vestng or related payments to be made during the six-month period commencing on the Grantee’s “separaton from service” (as defned in Secton 409A of the Code) shall be delayed untl the expiraton of such six-month period.</w:t>
      </w:r>
    </w:p>
    <w:p>
      <w:pPr>
        <w:spacing w:after="0" w:line="230" w:lineRule="exact"/>
        <w:rPr>
          <w:rFonts w:ascii="Calibri" w:cs="Calibri" w:eastAsia="Calibri" w:hAnsi="Calibri"/>
          <w:sz w:val="22"/>
          <w:szCs w:val="22"/>
          <w:color w:val="auto"/>
        </w:rPr>
      </w:pPr>
    </w:p>
    <w:p>
      <w:pPr>
        <w:jc w:val="both"/>
        <w:ind w:firstLine="1304"/>
        <w:spacing w:after="0" w:line="229" w:lineRule="auto"/>
        <w:tabs>
          <w:tab w:leader="none" w:pos="1934" w:val="left"/>
        </w:tabs>
        <w:numPr>
          <w:ilvl w:val="0"/>
          <w:numId w:val="132"/>
        </w:numPr>
        <w:rPr>
          <w:rFonts w:ascii="Calibri" w:cs="Calibri" w:eastAsia="Calibri" w:hAnsi="Calibri"/>
          <w:sz w:val="22"/>
          <w:szCs w:val="22"/>
          <w:color w:val="auto"/>
        </w:rPr>
      </w:pPr>
      <w:r>
        <w:rPr>
          <w:rFonts w:ascii="Calibri" w:cs="Calibri" w:eastAsia="Calibri" w:hAnsi="Calibri"/>
          <w:sz w:val="22"/>
          <w:szCs w:val="22"/>
          <w:u w:val="single" w:color="auto"/>
          <w:color w:val="auto"/>
        </w:rPr>
        <w:t>Complete Agreement</w:t>
      </w:r>
      <w:r>
        <w:rPr>
          <w:rFonts w:ascii="Calibri" w:cs="Calibri" w:eastAsia="Calibri" w:hAnsi="Calibri"/>
          <w:sz w:val="22"/>
          <w:szCs w:val="22"/>
          <w:color w:val="auto"/>
        </w:rPr>
        <w:t>. This Agreement (together with those agreements and documents expressly referred to herein, for the purposes referred to herein) embody the complete and entre agreement and understanding between the partes with respect to the subject mater hereof, and supersede any and all prior promises, assurances, commitments, agreements, undertakings or representatons, whether oral, writen, electronic or otherwise, and whether express or implied, which may relate to the subject mater hereof in any way.</w:t>
      </w:r>
    </w:p>
    <w:p>
      <w:pPr>
        <w:spacing w:after="0" w:line="207" w:lineRule="exact"/>
        <w:rPr>
          <w:sz w:val="20"/>
          <w:szCs w:val="20"/>
          <w:color w:val="auto"/>
        </w:rPr>
      </w:pPr>
    </w:p>
    <w:p>
      <w:pPr>
        <w:jc w:val="center"/>
        <w:spacing w:after="0"/>
        <w:rPr>
          <w:sz w:val="20"/>
          <w:szCs w:val="20"/>
          <w:color w:val="auto"/>
        </w:rPr>
      </w:pPr>
      <w:r>
        <w:rPr>
          <w:rFonts w:ascii="Calibri" w:cs="Calibri" w:eastAsia="Calibri" w:hAnsi="Calibri"/>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12</w:t>
      </w:r>
    </w:p>
    <w:p>
      <w:pPr>
        <w:sectPr>
          <w:pgSz w:w="11900" w:h="16838" w:orient="portrait"/>
          <w:cols w:equalWidth="0" w:num="1">
            <w:col w:w="11240"/>
          </w:cols>
          <w:pgMar w:left="320" w:top="1407" w:right="339" w:bottom="1440" w:gutter="0" w:footer="0" w:header="0"/>
        </w:sectPr>
      </w:pPr>
    </w:p>
    <w:bookmarkStart w:id="120" w:name="page121"/>
    <w:bookmarkEnd w:id="120"/>
    <w:p>
      <w:pPr>
        <w:ind w:left="660"/>
        <w:spacing w:after="0"/>
        <w:rPr>
          <w:sz w:val="20"/>
          <w:szCs w:val="20"/>
          <w:color w:val="auto"/>
        </w:rPr>
      </w:pPr>
      <w:r>
        <w:rPr>
          <w:rFonts w:ascii="Calibri" w:cs="Calibri" w:eastAsia="Calibri" w:hAnsi="Calibri"/>
          <w:sz w:val="21"/>
          <w:szCs w:val="21"/>
          <w:color w:val="auto"/>
        </w:rPr>
        <w:t>IN WITNESS WHEREOF, the undersigned have caused this Award Agreement to be executed as of the 1</w:t>
      </w:r>
      <w:r>
        <w:rPr>
          <w:rFonts w:ascii="Calibri" w:cs="Calibri" w:eastAsia="Calibri" w:hAnsi="Calibri"/>
          <w:sz w:val="27"/>
          <w:szCs w:val="27"/>
          <w:color w:val="auto"/>
          <w:vertAlign w:val="superscript"/>
        </w:rPr>
        <w:t>st</w:t>
      </w:r>
      <w:r>
        <w:rPr>
          <w:rFonts w:ascii="Calibri" w:cs="Calibri" w:eastAsia="Calibri" w:hAnsi="Calibri"/>
          <w:sz w:val="21"/>
          <w:szCs w:val="21"/>
          <w:color w:val="auto"/>
        </w:rPr>
        <w:t xml:space="preserve"> day of March,</w:t>
      </w:r>
    </w:p>
    <w:p>
      <w:pPr>
        <w:spacing w:after="0" w:line="193" w:lineRule="auto"/>
        <w:rPr>
          <w:sz w:val="20"/>
          <w:szCs w:val="20"/>
          <w:color w:val="auto"/>
        </w:rPr>
      </w:pPr>
      <w:r>
        <w:rPr>
          <w:rFonts w:ascii="Calibri" w:cs="Calibri" w:eastAsia="Calibri" w:hAnsi="Calibri"/>
          <w:sz w:val="22"/>
          <w:szCs w:val="22"/>
          <w:color w:val="auto"/>
        </w:rPr>
        <w:t>2024.</w:t>
      </w:r>
    </w:p>
    <w:p>
      <w:pPr>
        <w:spacing w:after="0" w:line="204"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THE MACERICH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-25400</wp:posOffset>
            </wp:positionV>
            <wp:extent cx="1238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THE MACERICH PARTNERSHIP, L.P.</w:t>
      </w:r>
    </w:p>
    <w:p>
      <w:pPr>
        <w:spacing w:after="0" w:line="206" w:lineRule="exact"/>
        <w:rPr>
          <w:sz w:val="20"/>
          <w:szCs w:val="20"/>
          <w:color w:val="auto"/>
        </w:rPr>
      </w:pPr>
    </w:p>
    <w:p>
      <w:pPr>
        <w:ind w:left="3900"/>
        <w:spacing w:after="0"/>
        <w:tabs>
          <w:tab w:leader="none" w:pos="4340" w:val="left"/>
        </w:tabs>
        <w:rPr>
          <w:sz w:val="20"/>
          <w:szCs w:val="20"/>
          <w:color w:val="auto"/>
        </w:rPr>
      </w:pPr>
      <w:r>
        <w:rPr>
          <w:rFonts w:ascii="Calibri" w:cs="Calibri" w:eastAsia="Calibri" w:hAnsi="Calibri"/>
          <w:sz w:val="22"/>
          <w:szCs w:val="22"/>
          <w:color w:val="auto"/>
        </w:rPr>
        <w:t>By:</w:t>
      </w:r>
      <w:r>
        <w:rPr>
          <w:sz w:val="20"/>
          <w:szCs w:val="20"/>
          <w:color w:val="auto"/>
        </w:rPr>
        <w:tab/>
      </w:r>
      <w:r>
        <w:rPr>
          <w:rFonts w:ascii="Calibri" w:cs="Calibri" w:eastAsia="Calibri" w:hAnsi="Calibri"/>
          <w:sz w:val="21"/>
          <w:szCs w:val="21"/>
          <w:color w:val="auto"/>
        </w:rPr>
        <w:t>The Macerich Company,</w:t>
      </w:r>
    </w:p>
    <w:p>
      <w:pPr>
        <w:ind w:left="4540"/>
        <w:spacing w:after="0" w:line="229" w:lineRule="auto"/>
        <w:rPr>
          <w:sz w:val="20"/>
          <w:szCs w:val="20"/>
          <w:color w:val="auto"/>
        </w:rPr>
      </w:pPr>
      <w:r>
        <w:rPr>
          <w:rFonts w:ascii="Calibri" w:cs="Calibri" w:eastAsia="Calibri" w:hAnsi="Calibri"/>
          <w:sz w:val="22"/>
          <w:szCs w:val="22"/>
          <w:color w:val="auto"/>
        </w:rPr>
        <w:t>its general partner</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-24765</wp:posOffset>
            </wp:positionV>
            <wp:extent cx="1238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00"/>
        <w:spacing w:after="0"/>
        <w:rPr>
          <w:sz w:val="20"/>
          <w:szCs w:val="20"/>
          <w:color w:val="auto"/>
        </w:rPr>
      </w:pPr>
      <w:r>
        <w:rPr>
          <w:rFonts w:ascii="Calibri" w:cs="Calibri" w:eastAsia="Calibri" w:hAnsi="Calibri"/>
          <w:sz w:val="22"/>
          <w:szCs w:val="22"/>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548640</wp:posOffset>
            </wp:positionV>
            <wp:extent cx="1238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13</w:t>
      </w:r>
    </w:p>
    <w:p>
      <w:pPr>
        <w:sectPr>
          <w:pgSz w:w="11900" w:h="16838" w:orient="portrait"/>
          <w:cols w:equalWidth="0" w:num="1">
            <w:col w:w="11240"/>
          </w:cols>
          <w:pgMar w:left="320" w:top="1376" w:right="339" w:bottom="1440" w:gutter="0" w:footer="0" w:header="0"/>
        </w:sectPr>
      </w:pPr>
    </w:p>
    <w:bookmarkStart w:id="121" w:name="page122"/>
    <w:bookmarkEnd w:id="121"/>
    <w:p>
      <w:pPr>
        <w:jc w:val="center"/>
        <w:spacing w:after="0"/>
        <w:rPr>
          <w:sz w:val="20"/>
          <w:szCs w:val="20"/>
          <w:color w:val="auto"/>
        </w:rPr>
      </w:pPr>
      <w:r>
        <w:rPr>
          <w:rFonts w:ascii="Calibri" w:cs="Calibri" w:eastAsia="Calibri" w:hAnsi="Calibri"/>
          <w:sz w:val="22"/>
          <w:szCs w:val="22"/>
          <w:b w:val="1"/>
          <w:bCs w:val="1"/>
          <w:u w:val="single" w:color="auto"/>
          <w:color w:val="auto"/>
        </w:rPr>
        <w:t>EXHIBIT A</w:t>
      </w: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FORM OF LIMITED PARTNER SIGNATURE PAGE</w:t>
      </w:r>
    </w:p>
    <w:p>
      <w:pPr>
        <w:spacing w:after="0" w:line="217"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2"/>
          <w:szCs w:val="22"/>
          <w:color w:val="auto"/>
        </w:rPr>
        <w:t>The Grantee, desiring to become one of the within named Limited Partners of The Macerich Partnership, L.P., hereby accepts all of the terms and conditons of (including, without limitaton, the provisions related to powers of atorney), and becomes a party to, the Amended and Restated Agreement of Limited Partnership of The Macerich Partnership, L.P., dated as of March 16, 1994, as amended from tme to tme (the “</w:t>
      </w:r>
      <w:r>
        <w:rPr>
          <w:rFonts w:ascii="Calibri" w:cs="Calibri" w:eastAsia="Calibri" w:hAnsi="Calibri"/>
          <w:sz w:val="22"/>
          <w:szCs w:val="22"/>
          <w:u w:val="single" w:color="auto"/>
          <w:color w:val="auto"/>
        </w:rPr>
        <w:t>Partnership Agreement</w:t>
      </w:r>
      <w:r>
        <w:rPr>
          <w:rFonts w:ascii="Calibri" w:cs="Calibri" w:eastAsia="Calibri" w:hAnsi="Calibri"/>
          <w:sz w:val="22"/>
          <w:szCs w:val="22"/>
          <w:color w:val="auto"/>
        </w:rPr>
        <w:t>”). The Grantee agrees that this signature page may be atached to any counterpart of the Partnership Agreement and further agrees as follows (where the term “Limited Partner” refers to the Grantee):</w:t>
      </w:r>
    </w:p>
    <w:p>
      <w:pPr>
        <w:spacing w:after="0" w:line="231" w:lineRule="exact"/>
        <w:rPr>
          <w:sz w:val="20"/>
          <w:szCs w:val="20"/>
          <w:color w:val="auto"/>
        </w:rPr>
      </w:pPr>
    </w:p>
    <w:p>
      <w:pPr>
        <w:jc w:val="both"/>
        <w:ind w:firstLine="656"/>
        <w:spacing w:after="0" w:line="229" w:lineRule="auto"/>
        <w:tabs>
          <w:tab w:leader="none" w:pos="1284" w:val="left"/>
        </w:tabs>
        <w:numPr>
          <w:ilvl w:val="0"/>
          <w:numId w:val="133"/>
        </w:numPr>
        <w:rPr>
          <w:rFonts w:ascii="Calibri" w:cs="Calibri" w:eastAsia="Calibri" w:hAnsi="Calibri"/>
          <w:sz w:val="22"/>
          <w:szCs w:val="22"/>
          <w:color w:val="auto"/>
        </w:rPr>
      </w:pPr>
      <w:r>
        <w:rPr>
          <w:rFonts w:ascii="Calibri" w:cs="Calibri" w:eastAsia="Calibri" w:hAnsi="Calibri"/>
          <w:sz w:val="22"/>
          <w:szCs w:val="22"/>
          <w:color w:val="auto"/>
        </w:rPr>
        <w:t>The Limited Partner hereby confrms that it has reviewed the terms of the Partnership Agreement and afrms and agrees that it is bound by each of the terms and conditons of the Partnership Agreement, including, without limitaton, the provisions thereof relatng to limitatons and restrictons on the transfer of Partnership Units. Without limitaton of the foregoing, the Limited Partner is deemed to have made all of the acknowledgements, waivers and agreements set forth in Sectons 10.6 and 13.11 of the Partnership Agreement.</w:t>
      </w:r>
    </w:p>
    <w:p>
      <w:pPr>
        <w:spacing w:after="0" w:line="217" w:lineRule="exact"/>
        <w:rPr>
          <w:rFonts w:ascii="Calibri" w:cs="Calibri" w:eastAsia="Calibri" w:hAnsi="Calibri"/>
          <w:sz w:val="22"/>
          <w:szCs w:val="22"/>
          <w:color w:val="auto"/>
        </w:rPr>
      </w:pPr>
    </w:p>
    <w:p>
      <w:pPr>
        <w:jc w:val="both"/>
        <w:ind w:firstLine="656"/>
        <w:spacing w:after="0" w:line="231" w:lineRule="auto"/>
        <w:tabs>
          <w:tab w:leader="none" w:pos="1284" w:val="left"/>
        </w:tabs>
        <w:numPr>
          <w:ilvl w:val="0"/>
          <w:numId w:val="133"/>
        </w:numPr>
        <w:rPr>
          <w:rFonts w:ascii="Calibri" w:cs="Calibri" w:eastAsia="Calibri" w:hAnsi="Calibri"/>
          <w:sz w:val="22"/>
          <w:szCs w:val="22"/>
          <w:color w:val="auto"/>
        </w:rPr>
      </w:pPr>
      <w:r>
        <w:rPr>
          <w:rFonts w:ascii="Calibri" w:cs="Calibri" w:eastAsia="Calibri" w:hAnsi="Calibri"/>
          <w:sz w:val="22"/>
          <w:szCs w:val="22"/>
          <w:color w:val="auto"/>
        </w:rPr>
        <w:t>The Limited Partner hereby confrms that it is acquiring the Partnership Units for its own account as principal, for investment and not with a view to resale or distributon, and that the Partnership Units may not be transferred or otherwise disposed of by the Limited Partner otherwise than in a transacton pursuant to a registraton statement fled by the Partnership (which it has no obligaton to fle) or that is exempt from the registraton requirements of the Securites Act of 1933, as amended (the “</w:t>
      </w:r>
      <w:r>
        <w:rPr>
          <w:rFonts w:ascii="Calibri" w:cs="Calibri" w:eastAsia="Calibri" w:hAnsi="Calibri"/>
          <w:sz w:val="22"/>
          <w:szCs w:val="22"/>
          <w:u w:val="single" w:color="auto"/>
          <w:color w:val="auto"/>
        </w:rPr>
        <w:t>Securites Act</w:t>
      </w:r>
      <w:r>
        <w:rPr>
          <w:rFonts w:ascii="Calibri" w:cs="Calibri" w:eastAsia="Calibri" w:hAnsi="Calibri"/>
          <w:sz w:val="22"/>
          <w:szCs w:val="22"/>
          <w:color w:val="auto"/>
        </w:rPr>
        <w:t>”), and all applicable state and foreign securites laws, and the General Partner may refuse to transfer any Partnership Units as to which evidence of such registraton or exempton from registraton satsfactory to the General Partner is not provided to it, which evidence may include the requirement of a legal opinion regarding the exempton from such registraton. If the General Partner delivers to the Limited Partner shares of common stock of the General Partner (“</w:t>
      </w:r>
      <w:r>
        <w:rPr>
          <w:rFonts w:ascii="Calibri" w:cs="Calibri" w:eastAsia="Calibri" w:hAnsi="Calibri"/>
          <w:sz w:val="22"/>
          <w:szCs w:val="22"/>
          <w:u w:val="single" w:color="auto"/>
          <w:color w:val="auto"/>
        </w:rPr>
        <w:t>Common Shares</w:t>
      </w:r>
      <w:r>
        <w:rPr>
          <w:rFonts w:ascii="Calibri" w:cs="Calibri" w:eastAsia="Calibri" w:hAnsi="Calibri"/>
          <w:sz w:val="22"/>
          <w:szCs w:val="22"/>
          <w:color w:val="auto"/>
        </w:rPr>
        <w:t>”) upon redempton of any Partnership Units, the Common Shares will be acquired for the Limited Partner’s own account as principal, for investment and not with a view to resale or distributon, and the Common Shares may not be transferred or otherwise disposed of by the Limited Partner otherwise than in a transacton pursuant to a registraton statement fled by the General Partner with respect to such Common Shares (which it has no obligaton under the Partnership Agreement to fle) or that is exempt from the registraton requirements of the Securites Act and all applicable state and foreign securites laws, and the General Partner may refuse to transfer any Common Shares as to which evidence of such registraton or exempton from such registraton satsfactory to the General Partner is not provided to it, which evidence may include the requirement of a legal opinion regarding the exempton from such registraton.</w:t>
      </w:r>
    </w:p>
    <w:p>
      <w:pPr>
        <w:spacing w:after="0" w:line="224" w:lineRule="exact"/>
        <w:rPr>
          <w:rFonts w:ascii="Calibri" w:cs="Calibri" w:eastAsia="Calibri" w:hAnsi="Calibri"/>
          <w:sz w:val="22"/>
          <w:szCs w:val="22"/>
          <w:color w:val="auto"/>
        </w:rPr>
      </w:pPr>
    </w:p>
    <w:p>
      <w:pPr>
        <w:jc w:val="both"/>
        <w:ind w:firstLine="656"/>
        <w:spacing w:after="0" w:line="233" w:lineRule="auto"/>
        <w:tabs>
          <w:tab w:leader="none" w:pos="1284" w:val="left"/>
        </w:tabs>
        <w:numPr>
          <w:ilvl w:val="0"/>
          <w:numId w:val="133"/>
        </w:numPr>
        <w:rPr>
          <w:rFonts w:ascii="Calibri" w:cs="Calibri" w:eastAsia="Calibri" w:hAnsi="Calibri"/>
          <w:sz w:val="22"/>
          <w:szCs w:val="22"/>
          <w:color w:val="auto"/>
        </w:rPr>
      </w:pPr>
      <w:r>
        <w:rPr>
          <w:rFonts w:ascii="Calibri" w:cs="Calibri" w:eastAsia="Calibri" w:hAnsi="Calibri"/>
          <w:sz w:val="22"/>
          <w:szCs w:val="22"/>
          <w:color w:val="auto"/>
        </w:rPr>
        <w:t>The Limited Partner hereby afrms that it has appointed the General Partner, any liquidator and authorized ofcers and atorneys-in-fact of each, and each of those actng singly, in each case with full power of substtuton, as its true and lawful agent and atorney-in-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A-1</w:t>
      </w:r>
    </w:p>
    <w:p>
      <w:pPr>
        <w:sectPr>
          <w:pgSz w:w="11900" w:h="16838" w:orient="portrait"/>
          <w:cols w:equalWidth="0" w:num="1">
            <w:col w:w="11240"/>
          </w:cols>
          <w:pgMar w:left="320" w:top="1394" w:right="339" w:bottom="1440" w:gutter="0" w:footer="0" w:header="0"/>
        </w:sectPr>
      </w:pPr>
    </w:p>
    <w:bookmarkStart w:id="122" w:name="page123"/>
    <w:bookmarkEnd w:id="122"/>
    <w:p>
      <w:pPr>
        <w:jc w:val="both"/>
        <w:spacing w:after="0" w:line="231" w:lineRule="auto"/>
        <w:rPr>
          <w:sz w:val="20"/>
          <w:szCs w:val="20"/>
          <w:color w:val="auto"/>
        </w:rPr>
      </w:pPr>
      <w:r>
        <w:rPr>
          <w:rFonts w:ascii="Calibri" w:cs="Calibri" w:eastAsia="Calibri" w:hAnsi="Calibri"/>
          <w:sz w:val="22"/>
          <w:szCs w:val="22"/>
          <w:color w:val="auto"/>
        </w:rPr>
        <w:t>fact, with full power and authority in its name, place and stead, in accordance with Secton 6.10 of the Partnership Agreement, which Secton is hereby incorporated by reference. The foregoing power of atorney is hereby declared to be irrevocable and a power coupled with an interest, and it shall survive and not be afected by the death, incompetency, dissoluton, disability, incapacity, bankruptcy or terminaton of the Limited Partner and shall extend to the Limited Partner’s heirs, executors, administrators, legal representatves, successors and assigns.</w:t>
      </w:r>
    </w:p>
    <w:p>
      <w:pPr>
        <w:spacing w:after="0" w:line="220" w:lineRule="exact"/>
        <w:rPr>
          <w:sz w:val="20"/>
          <w:szCs w:val="20"/>
          <w:color w:val="auto"/>
        </w:rPr>
      </w:pPr>
    </w:p>
    <w:p>
      <w:pPr>
        <w:jc w:val="both"/>
        <w:ind w:firstLine="656"/>
        <w:spacing w:after="0" w:line="242" w:lineRule="auto"/>
        <w:tabs>
          <w:tab w:leader="none" w:pos="1284" w:val="left"/>
        </w:tabs>
        <w:numPr>
          <w:ilvl w:val="0"/>
          <w:numId w:val="134"/>
        </w:numPr>
        <w:rPr>
          <w:rFonts w:ascii="Calibri" w:cs="Calibri" w:eastAsia="Calibri" w:hAnsi="Calibri"/>
          <w:sz w:val="21"/>
          <w:szCs w:val="21"/>
          <w:color w:val="auto"/>
        </w:rPr>
      </w:pPr>
      <w:r>
        <w:rPr>
          <w:rFonts w:ascii="Calibri" w:cs="Calibri" w:eastAsia="Calibri" w:hAnsi="Calibri"/>
          <w:sz w:val="21"/>
          <w:szCs w:val="21"/>
          <w:color w:val="auto"/>
        </w:rPr>
        <w:t>The Limited Partner hereby irrevocably consents in advance to any amendment to the Partnership Agreement, as may be recommended by the General Partner, intended to avoid the Partnership being treated as a publicly-traded partnership within the meaning of Secton 7704 of the Internal Revenue Code, including, without limitaton, (a) any amendment to the provisions of Secton 9.1 or the Redempton Rights Exhibit of the Partnership Agreement intended to increase the waitng period between the delivery of a notce of redempton and the redempton date to up to sixty (60) days or (b) any other amendment to the Partnership Agreement intended to make the redempton and transfer provisions, with respect to certain redemptons and transfers, more similar to the provisions described in Treasury Regulatons Secton 1.7704 1(f).</w:t>
      </w:r>
    </w:p>
    <w:p>
      <w:pPr>
        <w:spacing w:after="0" w:line="215" w:lineRule="exact"/>
        <w:rPr>
          <w:rFonts w:ascii="Calibri" w:cs="Calibri" w:eastAsia="Calibri" w:hAnsi="Calibri"/>
          <w:sz w:val="21"/>
          <w:szCs w:val="21"/>
          <w:color w:val="auto"/>
        </w:rPr>
      </w:pPr>
    </w:p>
    <w:p>
      <w:pPr>
        <w:jc w:val="both"/>
        <w:ind w:firstLine="656"/>
        <w:spacing w:after="0" w:line="231" w:lineRule="auto"/>
        <w:tabs>
          <w:tab w:leader="none" w:pos="1284" w:val="left"/>
        </w:tabs>
        <w:numPr>
          <w:ilvl w:val="0"/>
          <w:numId w:val="134"/>
        </w:numPr>
        <w:rPr>
          <w:rFonts w:ascii="Calibri" w:cs="Calibri" w:eastAsia="Calibri" w:hAnsi="Calibri"/>
          <w:sz w:val="22"/>
          <w:szCs w:val="22"/>
          <w:color w:val="auto"/>
        </w:rPr>
      </w:pPr>
      <w:r>
        <w:rPr>
          <w:rFonts w:ascii="Calibri" w:cs="Calibri" w:eastAsia="Calibri" w:hAnsi="Calibri"/>
          <w:sz w:val="22"/>
          <w:szCs w:val="22"/>
          <w:color w:val="auto"/>
        </w:rPr>
        <w:t>The Limited Partner hereby appoints the General Partner, any Liquidator and authorized ofcers and atorneys-in-fact of each, and each of those actng singly, in each case with full power of substtuton, as its true and lawful agent and atorney-in-fact, with full power and authority in its name, place and stead, to execute and deliver any amendment referred to in the foregoing paragraph 4(a) on the Limited Partner’s behalf. The foregoing power of atorney is hereby declared to be irrevocable and a power coupled with an interest, and it shall survive and not be afected by the death, incompetency, dissoluton, disability, incapacity, bankruptcy or terminaton of the Limited Partner and shall extend to the Limited Partner’s heirs, executors, administrators, legal representatves, successors and assigns.</w:t>
      </w:r>
    </w:p>
    <w:p>
      <w:pPr>
        <w:spacing w:after="0" w:line="229" w:lineRule="exact"/>
        <w:rPr>
          <w:rFonts w:ascii="Calibri" w:cs="Calibri" w:eastAsia="Calibri" w:hAnsi="Calibri"/>
          <w:sz w:val="22"/>
          <w:szCs w:val="22"/>
          <w:color w:val="auto"/>
        </w:rPr>
      </w:pPr>
    </w:p>
    <w:p>
      <w:pPr>
        <w:jc w:val="both"/>
        <w:ind w:firstLine="656"/>
        <w:spacing w:after="0" w:line="231" w:lineRule="auto"/>
        <w:tabs>
          <w:tab w:leader="none" w:pos="1284" w:val="left"/>
        </w:tabs>
        <w:numPr>
          <w:ilvl w:val="0"/>
          <w:numId w:val="134"/>
        </w:numPr>
        <w:rPr>
          <w:rFonts w:ascii="Calibri" w:cs="Calibri" w:eastAsia="Calibri" w:hAnsi="Calibri"/>
          <w:sz w:val="22"/>
          <w:szCs w:val="22"/>
          <w:color w:val="auto"/>
        </w:rPr>
      </w:pPr>
      <w:r>
        <w:rPr>
          <w:rFonts w:ascii="Calibri" w:cs="Calibri" w:eastAsia="Calibri" w:hAnsi="Calibri"/>
          <w:sz w:val="22"/>
          <w:szCs w:val="22"/>
          <w:color w:val="auto"/>
        </w:rPr>
        <w:t>The Limited Partner agrees that it will not transfer any interest in the Partnership Units (i) through a natonal, non-U.S., regional, local or other securites exchange or (ii) an over-the-counter market (including an interdealer quotaton system that regularly disseminates frm buy or sell quotatons by identfed brokers or dealers by electronic means or otherwise) or (iii) to or through (a) a person, such as a broker or dealer, that makes a market in, or regularly quotes prices for, interests in the Partnership or (b) a person that regularly makes available to the public (including customers or subscribers) bid or ofer quotes with respect to any interests in the Partnership and stands ready to efect transactons at the quoted prices for itself or on behalf of others.</w:t>
      </w:r>
    </w:p>
    <w:p>
      <w:pPr>
        <w:spacing w:after="0" w:line="215" w:lineRule="exact"/>
        <w:rPr>
          <w:rFonts w:ascii="Calibri" w:cs="Calibri" w:eastAsia="Calibri" w:hAnsi="Calibri"/>
          <w:sz w:val="22"/>
          <w:szCs w:val="22"/>
          <w:color w:val="auto"/>
        </w:rPr>
      </w:pPr>
    </w:p>
    <w:p>
      <w:pPr>
        <w:jc w:val="both"/>
        <w:ind w:firstLine="656"/>
        <w:spacing w:after="0" w:line="229" w:lineRule="auto"/>
        <w:tabs>
          <w:tab w:leader="none" w:pos="1284" w:val="left"/>
        </w:tabs>
        <w:numPr>
          <w:ilvl w:val="0"/>
          <w:numId w:val="134"/>
        </w:numPr>
        <w:rPr>
          <w:rFonts w:ascii="Calibri" w:cs="Calibri" w:eastAsia="Calibri" w:hAnsi="Calibri"/>
          <w:sz w:val="22"/>
          <w:szCs w:val="22"/>
          <w:color w:val="auto"/>
        </w:rPr>
      </w:pPr>
      <w:r>
        <w:rPr>
          <w:rFonts w:ascii="Calibri" w:cs="Calibri" w:eastAsia="Calibri" w:hAnsi="Calibri"/>
          <w:sz w:val="22"/>
          <w:szCs w:val="22"/>
          <w:color w:val="auto"/>
        </w:rPr>
        <w:t xml:space="preserve">The Limited Partner acknowledges that the General Partner shall be a third party benefciary of the representatons, covenants and agreements set forth in </w:t>
      </w:r>
      <w:r>
        <w:rPr>
          <w:rFonts w:ascii="Calibri" w:cs="Calibri" w:eastAsia="Calibri" w:hAnsi="Calibri"/>
          <w:sz w:val="22"/>
          <w:szCs w:val="22"/>
          <w:u w:val="single" w:color="auto"/>
          <w:color w:val="auto"/>
        </w:rPr>
        <w:t>Sectons 4</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hereof. The Limited Partner agrees that it will transfer, whether by assignment or otherwise, Partnership Units only to the General Partner or to transferees that provide the Partnership and the General Partner with the representatons and covenants set forth in </w:t>
      </w:r>
      <w:r>
        <w:rPr>
          <w:rFonts w:ascii="Calibri" w:cs="Calibri" w:eastAsia="Calibri" w:hAnsi="Calibri"/>
          <w:sz w:val="22"/>
          <w:szCs w:val="22"/>
          <w:u w:val="single" w:color="auto"/>
          <w:color w:val="auto"/>
        </w:rPr>
        <w:t>Sectons 4</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A-2</w:t>
      </w:r>
    </w:p>
    <w:p>
      <w:pPr>
        <w:sectPr>
          <w:pgSz w:w="11900" w:h="16838" w:orient="portrait"/>
          <w:cols w:equalWidth="0" w:num="1">
            <w:col w:w="11240"/>
          </w:cols>
          <w:pgMar w:left="320" w:top="1407" w:right="339" w:bottom="1440" w:gutter="0" w:footer="0" w:header="0"/>
        </w:sectPr>
      </w:pPr>
    </w:p>
    <w:bookmarkStart w:id="123" w:name="page124"/>
    <w:bookmarkEnd w:id="123"/>
    <w:p>
      <w:pPr>
        <w:ind w:left="-20" w:firstLine="656"/>
        <w:spacing w:after="0" w:line="229" w:lineRule="auto"/>
        <w:tabs>
          <w:tab w:leader="none" w:pos="1264" w:val="left"/>
        </w:tabs>
        <w:numPr>
          <w:ilvl w:val="0"/>
          <w:numId w:val="135"/>
        </w:numPr>
        <w:rPr>
          <w:rFonts w:ascii="Calibri" w:cs="Calibri" w:eastAsia="Calibri" w:hAnsi="Calibri"/>
          <w:sz w:val="22"/>
          <w:szCs w:val="22"/>
          <w:color w:val="auto"/>
        </w:rPr>
      </w:pPr>
      <w:r>
        <w:rPr>
          <w:rFonts w:ascii="Calibri" w:cs="Calibri" w:eastAsia="Calibri" w:hAnsi="Calibri"/>
          <w:sz w:val="22"/>
          <w:szCs w:val="22"/>
          <w:color w:val="auto"/>
        </w:rPr>
        <w:t>This Acceptance shall be construed and enforced in accordance with and governed by the laws of the State of Delaware, without regard to the principles of conficts of law.</w:t>
      </w:r>
    </w:p>
    <w:p>
      <w:pPr>
        <w:spacing w:after="0" w:line="206" w:lineRule="exact"/>
        <w:rPr>
          <w:sz w:val="20"/>
          <w:szCs w:val="20"/>
          <w:color w:val="auto"/>
        </w:rPr>
      </w:pPr>
    </w:p>
    <w:p>
      <w:pPr>
        <w:ind w:left="3880"/>
        <w:spacing w:after="0"/>
        <w:rPr>
          <w:sz w:val="20"/>
          <w:szCs w:val="20"/>
          <w:color w:val="auto"/>
        </w:rPr>
      </w:pPr>
      <w:r>
        <w:rPr>
          <w:rFonts w:ascii="Calibri" w:cs="Calibri" w:eastAsia="Calibri" w:hAnsi="Calibri"/>
          <w:sz w:val="22"/>
          <w:szCs w:val="22"/>
          <w:color w:val="auto"/>
        </w:rPr>
        <w:t>Signature Line for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557530</wp:posOffset>
            </wp:positionV>
            <wp:extent cx="1238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80"/>
        <w:spacing w:after="0"/>
        <w:rPr>
          <w:sz w:val="20"/>
          <w:szCs w:val="20"/>
          <w:color w:val="auto"/>
        </w:rPr>
      </w:pPr>
      <w:r>
        <w:rPr>
          <w:rFonts w:ascii="Calibri" w:cs="Calibri" w:eastAsia="Calibri" w:hAnsi="Calibri"/>
          <w:sz w:val="22"/>
          <w:szCs w:val="22"/>
          <w:color w:val="auto"/>
        </w:rPr>
        <w:t>Date: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A-3</w:t>
      </w:r>
    </w:p>
    <w:p>
      <w:pPr>
        <w:sectPr>
          <w:pgSz w:w="11900" w:h="16838" w:orient="portrait"/>
          <w:cols w:equalWidth="0" w:num="1">
            <w:col w:w="11200"/>
          </w:cols>
          <w:pgMar w:left="340" w:top="1407" w:right="359" w:bottom="1440" w:gutter="0" w:footer="0" w:header="0"/>
        </w:sectPr>
      </w:pPr>
    </w:p>
    <w:bookmarkStart w:id="124" w:name="page125"/>
    <w:bookmarkEnd w:id="124"/>
    <w:p>
      <w:pPr>
        <w:jc w:val="center"/>
        <w:spacing w:after="0"/>
        <w:rPr>
          <w:sz w:val="20"/>
          <w:szCs w:val="20"/>
          <w:color w:val="auto"/>
        </w:rPr>
      </w:pPr>
      <w:r>
        <w:rPr>
          <w:rFonts w:ascii="Calibri" w:cs="Calibri" w:eastAsia="Calibri" w:hAnsi="Calibri"/>
          <w:sz w:val="22"/>
          <w:szCs w:val="22"/>
          <w:b w:val="1"/>
          <w:bCs w:val="1"/>
          <w:u w:val="single" w:color="auto"/>
          <w:color w:val="auto"/>
        </w:rPr>
        <w:t>EXHIBIT B</w:t>
      </w:r>
    </w:p>
    <w:p>
      <w:pPr>
        <w:spacing w:after="0" w:line="202" w:lineRule="exact"/>
        <w:rPr>
          <w:sz w:val="20"/>
          <w:szCs w:val="20"/>
          <w:color w:val="auto"/>
        </w:rPr>
      </w:pPr>
    </w:p>
    <w:p>
      <w:pPr>
        <w:ind w:left="2800"/>
        <w:spacing w:after="0"/>
        <w:rPr>
          <w:sz w:val="20"/>
          <w:szCs w:val="20"/>
          <w:color w:val="auto"/>
        </w:rPr>
      </w:pPr>
      <w:r>
        <w:rPr>
          <w:rFonts w:ascii="Calibri" w:cs="Calibri" w:eastAsia="Calibri" w:hAnsi="Calibri"/>
          <w:sz w:val="22"/>
          <w:szCs w:val="22"/>
          <w:b w:val="1"/>
          <w:bCs w:val="1"/>
          <w:color w:val="auto"/>
        </w:rPr>
        <w:t>GRANTEE’S COVENANTS, REPRESENTATIONS AND WARRANTIES</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The Grantee hereby represents, warrants and covenants as follows:</w:t>
      </w:r>
    </w:p>
    <w:p>
      <w:pPr>
        <w:spacing w:after="0" w:line="246" w:lineRule="exact"/>
        <w:rPr>
          <w:sz w:val="20"/>
          <w:szCs w:val="20"/>
          <w:color w:val="auto"/>
        </w:rPr>
      </w:pPr>
    </w:p>
    <w:p>
      <w:pPr>
        <w:ind w:left="1960" w:hanging="656"/>
        <w:spacing w:after="0"/>
        <w:tabs>
          <w:tab w:leader="none" w:pos="1960" w:val="left"/>
        </w:tabs>
        <w:numPr>
          <w:ilvl w:val="0"/>
          <w:numId w:val="136"/>
        </w:numPr>
        <w:rPr>
          <w:rFonts w:ascii="Cambria" w:cs="Cambria" w:eastAsia="Cambria" w:hAnsi="Cambria"/>
          <w:sz w:val="22"/>
          <w:szCs w:val="22"/>
          <w:b w:val="1"/>
          <w:bCs w:val="1"/>
          <w:color w:val="auto"/>
        </w:rPr>
      </w:pPr>
      <w:r>
        <w:rPr>
          <w:rFonts w:ascii="Calibri" w:cs="Calibri" w:eastAsia="Calibri" w:hAnsi="Calibri"/>
          <w:sz w:val="22"/>
          <w:szCs w:val="22"/>
          <w:color w:val="auto"/>
        </w:rPr>
        <w:t>The Grantee has received and had an opportunity to review the following documents (the “</w:t>
      </w:r>
      <w:r>
        <w:rPr>
          <w:rFonts w:ascii="Calibri" w:cs="Calibri" w:eastAsia="Calibri" w:hAnsi="Calibri"/>
          <w:sz w:val="22"/>
          <w:szCs w:val="22"/>
          <w:u w:val="single" w:color="auto"/>
          <w:color w:val="auto"/>
        </w:rPr>
        <w:t>Background</w:t>
      </w:r>
    </w:p>
    <w:p>
      <w:pPr>
        <w:spacing w:after="0" w:line="229" w:lineRule="auto"/>
        <w:rPr>
          <w:sz w:val="20"/>
          <w:szCs w:val="20"/>
          <w:color w:val="auto"/>
        </w:rPr>
      </w:pPr>
      <w:r>
        <w:rPr>
          <w:rFonts w:ascii="Calibri" w:cs="Calibri" w:eastAsia="Calibri" w:hAnsi="Calibri"/>
          <w:sz w:val="22"/>
          <w:szCs w:val="22"/>
          <w:u w:val="single" w:color="auto"/>
          <w:color w:val="auto"/>
        </w:rPr>
        <w:t>Documents</w:t>
      </w:r>
      <w:r>
        <w:rPr>
          <w:rFonts w:ascii="Calibri" w:cs="Calibri" w:eastAsia="Calibri" w:hAnsi="Calibri"/>
          <w:sz w:val="22"/>
          <w:szCs w:val="22"/>
          <w:color w:val="auto"/>
        </w:rPr>
        <w:t>”):</w:t>
      </w:r>
    </w:p>
    <w:p>
      <w:pPr>
        <w:spacing w:after="0" w:line="204" w:lineRule="exact"/>
        <w:rPr>
          <w:sz w:val="20"/>
          <w:szCs w:val="20"/>
          <w:color w:val="auto"/>
        </w:rPr>
      </w:pPr>
    </w:p>
    <w:p>
      <w:pPr>
        <w:ind w:left="2600" w:hanging="648"/>
        <w:spacing w:after="0"/>
        <w:tabs>
          <w:tab w:leader="none" w:pos="2600" w:val="left"/>
        </w:tabs>
        <w:numPr>
          <w:ilvl w:val="0"/>
          <w:numId w:val="137"/>
        </w:numPr>
        <w:rPr>
          <w:rFonts w:ascii="Calibri" w:cs="Calibri" w:eastAsia="Calibri" w:hAnsi="Calibri"/>
          <w:sz w:val="22"/>
          <w:szCs w:val="22"/>
          <w:color w:val="auto"/>
        </w:rPr>
      </w:pPr>
      <w:r>
        <w:rPr>
          <w:rFonts w:ascii="Calibri" w:cs="Calibri" w:eastAsia="Calibri" w:hAnsi="Calibri"/>
          <w:sz w:val="22"/>
          <w:szCs w:val="22"/>
          <w:color w:val="auto"/>
        </w:rPr>
        <w:t>The Company’s latest Annual Report to Stockholders;</w:t>
      </w:r>
    </w:p>
    <w:p>
      <w:pPr>
        <w:spacing w:after="0" w:line="203" w:lineRule="exact"/>
        <w:rPr>
          <w:rFonts w:ascii="Calibri" w:cs="Calibri" w:eastAsia="Calibri" w:hAnsi="Calibri"/>
          <w:sz w:val="22"/>
          <w:szCs w:val="22"/>
          <w:color w:val="auto"/>
        </w:rPr>
      </w:pPr>
    </w:p>
    <w:p>
      <w:pPr>
        <w:ind w:left="2580" w:hanging="628"/>
        <w:spacing w:after="0"/>
        <w:tabs>
          <w:tab w:leader="none" w:pos="2580" w:val="left"/>
        </w:tabs>
        <w:numPr>
          <w:ilvl w:val="0"/>
          <w:numId w:val="137"/>
        </w:numPr>
        <w:rPr>
          <w:rFonts w:ascii="Calibri" w:cs="Calibri" w:eastAsia="Calibri" w:hAnsi="Calibri"/>
          <w:sz w:val="22"/>
          <w:szCs w:val="22"/>
          <w:color w:val="auto"/>
        </w:rPr>
      </w:pPr>
      <w:r>
        <w:rPr>
          <w:rFonts w:ascii="Calibri" w:cs="Calibri" w:eastAsia="Calibri" w:hAnsi="Calibri"/>
          <w:sz w:val="22"/>
          <w:szCs w:val="22"/>
          <w:color w:val="auto"/>
        </w:rPr>
        <w:t>The Company’s Proxy Statement for its most recent Annual Meetng of Stockholders;</w:t>
      </w:r>
    </w:p>
    <w:p>
      <w:pPr>
        <w:spacing w:after="0" w:line="203" w:lineRule="exact"/>
        <w:rPr>
          <w:rFonts w:ascii="Calibri" w:cs="Calibri" w:eastAsia="Calibri" w:hAnsi="Calibri"/>
          <w:sz w:val="22"/>
          <w:szCs w:val="22"/>
          <w:color w:val="auto"/>
        </w:rPr>
      </w:pPr>
    </w:p>
    <w:p>
      <w:pPr>
        <w:ind w:left="2600" w:hanging="648"/>
        <w:spacing w:after="0"/>
        <w:tabs>
          <w:tab w:leader="none" w:pos="2600" w:val="left"/>
        </w:tabs>
        <w:numPr>
          <w:ilvl w:val="0"/>
          <w:numId w:val="137"/>
        </w:numPr>
        <w:rPr>
          <w:rFonts w:ascii="Calibri" w:cs="Calibri" w:eastAsia="Calibri" w:hAnsi="Calibri"/>
          <w:sz w:val="22"/>
          <w:szCs w:val="22"/>
          <w:color w:val="auto"/>
        </w:rPr>
      </w:pPr>
      <w:r>
        <w:rPr>
          <w:rFonts w:ascii="Calibri" w:cs="Calibri" w:eastAsia="Calibri" w:hAnsi="Calibri"/>
          <w:sz w:val="22"/>
          <w:szCs w:val="22"/>
          <w:color w:val="auto"/>
        </w:rPr>
        <w:t>The Company’s Report on Form 10-K for the fscal year most recently ended;</w:t>
      </w:r>
    </w:p>
    <w:p>
      <w:pPr>
        <w:spacing w:after="0" w:line="228" w:lineRule="exact"/>
        <w:rPr>
          <w:rFonts w:ascii="Calibri" w:cs="Calibri" w:eastAsia="Calibri" w:hAnsi="Calibri"/>
          <w:sz w:val="22"/>
          <w:szCs w:val="22"/>
          <w:color w:val="auto"/>
        </w:rPr>
      </w:pPr>
    </w:p>
    <w:p>
      <w:pPr>
        <w:ind w:left="660" w:firstLine="1292"/>
        <w:spacing w:after="0" w:line="229" w:lineRule="auto"/>
        <w:tabs>
          <w:tab w:leader="none" w:pos="2599" w:val="left"/>
        </w:tabs>
        <w:numPr>
          <w:ilvl w:val="0"/>
          <w:numId w:val="137"/>
        </w:numPr>
        <w:rPr>
          <w:rFonts w:ascii="Calibri" w:cs="Calibri" w:eastAsia="Calibri" w:hAnsi="Calibri"/>
          <w:sz w:val="22"/>
          <w:szCs w:val="22"/>
          <w:color w:val="auto"/>
        </w:rPr>
      </w:pPr>
      <w:r>
        <w:rPr>
          <w:rFonts w:ascii="Calibri" w:cs="Calibri" w:eastAsia="Calibri" w:hAnsi="Calibri"/>
          <w:sz w:val="22"/>
          <w:szCs w:val="22"/>
          <w:color w:val="auto"/>
        </w:rPr>
        <w:t>The Company’s Form 10-Q, if any, for the most recently ended quarter fled by the Company with the Securites and Exchange Commission since the fling of the Form 10-K described in clause (iii) above;</w:t>
      </w:r>
    </w:p>
    <w:p>
      <w:pPr>
        <w:spacing w:after="0" w:line="216" w:lineRule="exact"/>
        <w:rPr>
          <w:rFonts w:ascii="Calibri" w:cs="Calibri" w:eastAsia="Calibri" w:hAnsi="Calibri"/>
          <w:sz w:val="22"/>
          <w:szCs w:val="22"/>
          <w:color w:val="auto"/>
        </w:rPr>
      </w:pPr>
    </w:p>
    <w:p>
      <w:pPr>
        <w:ind w:left="660" w:firstLine="1292"/>
        <w:spacing w:after="0" w:line="229" w:lineRule="auto"/>
        <w:tabs>
          <w:tab w:leader="none" w:pos="2603" w:val="left"/>
        </w:tabs>
        <w:numPr>
          <w:ilvl w:val="0"/>
          <w:numId w:val="137"/>
        </w:numPr>
        <w:rPr>
          <w:rFonts w:ascii="Calibri" w:cs="Calibri" w:eastAsia="Calibri" w:hAnsi="Calibri"/>
          <w:sz w:val="22"/>
          <w:szCs w:val="22"/>
          <w:color w:val="auto"/>
        </w:rPr>
      </w:pPr>
      <w:r>
        <w:rPr>
          <w:rFonts w:ascii="Calibri" w:cs="Calibri" w:eastAsia="Calibri" w:hAnsi="Calibri"/>
          <w:sz w:val="22"/>
          <w:szCs w:val="22"/>
          <w:color w:val="auto"/>
        </w:rPr>
        <w:t>Each of the Company’s Current Report(s) on Form 8-K, if any, fled since the end of the fscal year most recently ended for which a Form 10-K has been fled by the Company;</w:t>
      </w:r>
    </w:p>
    <w:p>
      <w:pPr>
        <w:spacing w:after="0" w:line="203" w:lineRule="exact"/>
        <w:rPr>
          <w:rFonts w:ascii="Calibri" w:cs="Calibri" w:eastAsia="Calibri" w:hAnsi="Calibri"/>
          <w:sz w:val="22"/>
          <w:szCs w:val="22"/>
          <w:color w:val="auto"/>
        </w:rPr>
      </w:pPr>
    </w:p>
    <w:p>
      <w:pPr>
        <w:ind w:left="2600" w:hanging="648"/>
        <w:spacing w:after="0"/>
        <w:tabs>
          <w:tab w:leader="none" w:pos="2600" w:val="left"/>
        </w:tabs>
        <w:numPr>
          <w:ilvl w:val="0"/>
          <w:numId w:val="137"/>
        </w:numPr>
        <w:rPr>
          <w:rFonts w:ascii="Calibri" w:cs="Calibri" w:eastAsia="Calibri" w:hAnsi="Calibri"/>
          <w:sz w:val="22"/>
          <w:szCs w:val="22"/>
          <w:color w:val="auto"/>
        </w:rPr>
      </w:pPr>
      <w:r>
        <w:rPr>
          <w:rFonts w:ascii="Calibri" w:cs="Calibri" w:eastAsia="Calibri" w:hAnsi="Calibri"/>
          <w:sz w:val="22"/>
          <w:szCs w:val="22"/>
          <w:color w:val="auto"/>
        </w:rPr>
        <w:t>The Partnership Agreement;</w:t>
      </w:r>
    </w:p>
    <w:p>
      <w:pPr>
        <w:spacing w:after="0" w:line="203" w:lineRule="exact"/>
        <w:rPr>
          <w:rFonts w:ascii="Calibri" w:cs="Calibri" w:eastAsia="Calibri" w:hAnsi="Calibri"/>
          <w:sz w:val="22"/>
          <w:szCs w:val="22"/>
          <w:color w:val="auto"/>
        </w:rPr>
      </w:pPr>
    </w:p>
    <w:p>
      <w:pPr>
        <w:ind w:left="2600" w:hanging="648"/>
        <w:spacing w:after="0"/>
        <w:tabs>
          <w:tab w:leader="none" w:pos="2600" w:val="left"/>
        </w:tabs>
        <w:numPr>
          <w:ilvl w:val="0"/>
          <w:numId w:val="137"/>
        </w:numPr>
        <w:rPr>
          <w:rFonts w:ascii="Calibri" w:cs="Calibri" w:eastAsia="Calibri" w:hAnsi="Calibri"/>
          <w:sz w:val="22"/>
          <w:szCs w:val="22"/>
          <w:color w:val="auto"/>
        </w:rPr>
      </w:pPr>
      <w:r>
        <w:rPr>
          <w:rFonts w:ascii="Calibri" w:cs="Calibri" w:eastAsia="Calibri" w:hAnsi="Calibri"/>
          <w:sz w:val="22"/>
          <w:szCs w:val="22"/>
          <w:color w:val="auto"/>
        </w:rPr>
        <w:t>The Stock Plan; and</w:t>
      </w:r>
    </w:p>
    <w:p>
      <w:pPr>
        <w:spacing w:after="0" w:line="219" w:lineRule="exact"/>
        <w:rPr>
          <w:rFonts w:ascii="Calibri" w:cs="Calibri" w:eastAsia="Calibri" w:hAnsi="Calibri"/>
          <w:sz w:val="22"/>
          <w:szCs w:val="22"/>
          <w:color w:val="auto"/>
        </w:rPr>
      </w:pPr>
    </w:p>
    <w:p>
      <w:pPr>
        <w:ind w:left="2600" w:hanging="648"/>
        <w:spacing w:after="0"/>
        <w:tabs>
          <w:tab w:leader="none" w:pos="2600" w:val="left"/>
        </w:tabs>
        <w:numPr>
          <w:ilvl w:val="0"/>
          <w:numId w:val="137"/>
        </w:numPr>
        <w:rPr>
          <w:rFonts w:ascii="Calibri" w:cs="Calibri" w:eastAsia="Calibri" w:hAnsi="Calibri"/>
          <w:sz w:val="22"/>
          <w:szCs w:val="22"/>
          <w:color w:val="auto"/>
        </w:rPr>
      </w:pPr>
      <w:r>
        <w:rPr>
          <w:rFonts w:ascii="Calibri" w:cs="Calibri" w:eastAsia="Calibri" w:hAnsi="Calibri"/>
          <w:sz w:val="22"/>
          <w:szCs w:val="22"/>
          <w:color w:val="auto"/>
        </w:rPr>
        <w:t>The Company’s Artcles of Amendment and Restatement, as amended.</w:t>
      </w:r>
    </w:p>
    <w:p>
      <w:pPr>
        <w:spacing w:after="0" w:line="214" w:lineRule="exact"/>
        <w:rPr>
          <w:sz w:val="20"/>
          <w:szCs w:val="20"/>
          <w:color w:val="auto"/>
        </w:rPr>
      </w:pPr>
    </w:p>
    <w:p>
      <w:pPr>
        <w:jc w:val="both"/>
        <w:ind w:firstLine="1296"/>
        <w:spacing w:after="0" w:line="229" w:lineRule="auto"/>
        <w:rPr>
          <w:sz w:val="20"/>
          <w:szCs w:val="20"/>
          <w:color w:val="auto"/>
        </w:rPr>
      </w:pPr>
      <w:r>
        <w:rPr>
          <w:rFonts w:ascii="Calibri" w:cs="Calibri" w:eastAsia="Calibri" w:hAnsi="Calibri"/>
          <w:sz w:val="22"/>
          <w:szCs w:val="22"/>
          <w:color w:val="auto"/>
        </w:rPr>
        <w:t>The Grantee also acknowledges that any delivery of the Background Documents and other informaton relatng to the Company and the Partnership prior to the determinaton by the Partnership of the suitability of the Grantee as a holder of 2024 LTIP Units (SB) shall not consttute an ofer of 2024 LTIP Units (SB) untl such determinaton of suitability shall be made.</w:t>
      </w:r>
    </w:p>
    <w:p>
      <w:pPr>
        <w:spacing w:after="0" w:line="231" w:lineRule="exact"/>
        <w:rPr>
          <w:sz w:val="20"/>
          <w:szCs w:val="20"/>
          <w:color w:val="auto"/>
        </w:rPr>
      </w:pPr>
    </w:p>
    <w:p>
      <w:pPr>
        <w:ind w:left="1980" w:hanging="676"/>
        <w:spacing w:after="0"/>
        <w:tabs>
          <w:tab w:leader="none" w:pos="1980" w:val="left"/>
        </w:tabs>
        <w:numPr>
          <w:ilvl w:val="0"/>
          <w:numId w:val="138"/>
        </w:numPr>
        <w:rPr>
          <w:rFonts w:ascii="Cambria" w:cs="Cambria" w:eastAsia="Cambria" w:hAnsi="Cambria"/>
          <w:sz w:val="22"/>
          <w:szCs w:val="22"/>
          <w:b w:val="1"/>
          <w:bCs w:val="1"/>
          <w:color w:val="auto"/>
        </w:rPr>
      </w:pPr>
      <w:r>
        <w:rPr>
          <w:rFonts w:ascii="Calibri" w:cs="Calibri" w:eastAsia="Calibri" w:hAnsi="Calibri"/>
          <w:sz w:val="22"/>
          <w:szCs w:val="22"/>
          <w:color w:val="auto"/>
        </w:rPr>
        <w:t>The Grantee hereby represents and warrants that:</w:t>
      </w:r>
    </w:p>
    <w:p>
      <w:pPr>
        <w:spacing w:after="0" w:line="229" w:lineRule="exact"/>
        <w:rPr>
          <w:rFonts w:ascii="Cambria" w:cs="Cambria" w:eastAsia="Cambria" w:hAnsi="Cambria"/>
          <w:sz w:val="22"/>
          <w:szCs w:val="22"/>
          <w:b w:val="1"/>
          <w:bCs w:val="1"/>
          <w:color w:val="auto"/>
        </w:rPr>
      </w:pPr>
    </w:p>
    <w:p>
      <w:pPr>
        <w:jc w:val="both"/>
        <w:ind w:left="660" w:firstLine="1292"/>
        <w:spacing w:after="0" w:line="231" w:lineRule="auto"/>
        <w:tabs>
          <w:tab w:leader="none" w:pos="2596" w:val="left"/>
        </w:tabs>
        <w:numPr>
          <w:ilvl w:val="1"/>
          <w:numId w:val="138"/>
        </w:numPr>
        <w:rPr>
          <w:rFonts w:ascii="Calibri" w:cs="Calibri" w:eastAsia="Calibri" w:hAnsi="Calibri"/>
          <w:sz w:val="22"/>
          <w:szCs w:val="22"/>
          <w:color w:val="auto"/>
        </w:rPr>
      </w:pPr>
      <w:r>
        <w:rPr>
          <w:rFonts w:ascii="Calibri" w:cs="Calibri" w:eastAsia="Calibri" w:hAnsi="Calibri"/>
          <w:sz w:val="22"/>
          <w:szCs w:val="22"/>
          <w:color w:val="auto"/>
        </w:rPr>
        <w:t>The Grantee either (A) is an “accredited investor” as defned in Rule 501(a) under the Securites Act, or (B) by reason of the business and fnancial experience of the Grantee, together with the business and fnancial experience of those persons, if any, retained by the Grantee to represent or advise him with respect to the grant to him of 2024 LTIP Units (SB), the potental conversion of 2024 LTIP Units (SB) into units of limited partnership of the Partnership (“</w:t>
      </w:r>
      <w:r>
        <w:rPr>
          <w:rFonts w:ascii="Calibri" w:cs="Calibri" w:eastAsia="Calibri" w:hAnsi="Calibri"/>
          <w:sz w:val="22"/>
          <w:szCs w:val="22"/>
          <w:u w:val="single" w:color="auto"/>
          <w:color w:val="auto"/>
        </w:rPr>
        <w:t>Common Units</w:t>
      </w:r>
      <w:r>
        <w:rPr>
          <w:rFonts w:ascii="Calibri" w:cs="Calibri" w:eastAsia="Calibri" w:hAnsi="Calibri"/>
          <w:sz w:val="22"/>
          <w:szCs w:val="22"/>
          <w:color w:val="auto"/>
        </w:rPr>
        <w:t>”) and the potental redempton of such Common Units for shares the Company’s common stock (“</w:t>
      </w:r>
      <w:r>
        <w:rPr>
          <w:rFonts w:ascii="Calibri" w:cs="Calibri" w:eastAsia="Calibri" w:hAnsi="Calibri"/>
          <w:sz w:val="22"/>
          <w:szCs w:val="22"/>
          <w:u w:val="single" w:color="auto"/>
          <w:color w:val="auto"/>
        </w:rPr>
        <w:t>REIT Shares</w:t>
      </w:r>
      <w:r>
        <w:rPr>
          <w:rFonts w:ascii="Calibri" w:cs="Calibri" w:eastAsia="Calibri" w:hAnsi="Calibri"/>
          <w:sz w:val="22"/>
          <w:szCs w:val="22"/>
          <w:color w:val="auto"/>
        </w:rPr>
        <w:t>”), has such knowledge, sophistcaton and experience in fnancial and business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B-1</w:t>
      </w:r>
    </w:p>
    <w:p>
      <w:pPr>
        <w:sectPr>
          <w:pgSz w:w="11900" w:h="16838" w:orient="portrait"/>
          <w:cols w:equalWidth="0" w:num="1">
            <w:col w:w="11240"/>
          </w:cols>
          <w:pgMar w:left="320" w:top="1396" w:right="339" w:bottom="1440" w:gutter="0" w:footer="0" w:header="0"/>
        </w:sectPr>
      </w:pPr>
    </w:p>
    <w:bookmarkStart w:id="125" w:name="page126"/>
    <w:bookmarkEnd w:id="125"/>
    <w:p>
      <w:pPr>
        <w:jc w:val="both"/>
        <w:spacing w:after="0" w:line="232" w:lineRule="auto"/>
        <w:rPr>
          <w:sz w:val="20"/>
          <w:szCs w:val="20"/>
          <w:color w:val="auto"/>
        </w:rPr>
      </w:pPr>
      <w:r>
        <w:rPr>
          <w:rFonts w:ascii="Calibri" w:cs="Calibri" w:eastAsia="Calibri" w:hAnsi="Calibri"/>
          <w:sz w:val="22"/>
          <w:szCs w:val="22"/>
          <w:color w:val="auto"/>
        </w:rPr>
        <w:t>maters and in making investment decisions of this type that the Grantee (I) is capable of evaluatng the merits and risks of an investment in the Partnership and potental investment in the Company and of making an informed investment decision, (II) is capable of protectng his own interest or has engaged representatves or advisors to assist him in protectng his interests, and (III) is capable of bearing the economic risk of such investment.</w:t>
      </w:r>
    </w:p>
    <w:p>
      <w:pPr>
        <w:spacing w:after="0" w:line="217" w:lineRule="exact"/>
        <w:rPr>
          <w:sz w:val="20"/>
          <w:szCs w:val="20"/>
          <w:color w:val="auto"/>
        </w:rPr>
      </w:pPr>
    </w:p>
    <w:p>
      <w:pPr>
        <w:jc w:val="both"/>
        <w:ind w:firstLine="1292"/>
        <w:spacing w:after="0" w:line="230" w:lineRule="auto"/>
        <w:tabs>
          <w:tab w:leader="none" w:pos="1931" w:val="left"/>
        </w:tabs>
        <w:numPr>
          <w:ilvl w:val="0"/>
          <w:numId w:val="139"/>
        </w:numPr>
        <w:rPr>
          <w:rFonts w:ascii="Calibri" w:cs="Calibri" w:eastAsia="Calibri" w:hAnsi="Calibri"/>
          <w:sz w:val="22"/>
          <w:szCs w:val="22"/>
          <w:color w:val="auto"/>
        </w:rPr>
      </w:pPr>
      <w:r>
        <w:rPr>
          <w:rFonts w:ascii="Calibri" w:cs="Calibri" w:eastAsia="Calibri" w:hAnsi="Calibri"/>
          <w:sz w:val="22"/>
          <w:szCs w:val="22"/>
          <w:color w:val="auto"/>
        </w:rPr>
        <w:t>The Grantee, afer due inquiry, hereby certfes that for purposes of Rule 506(d) and Rule 506(e) of the Securites Act, he is not subject to any felony or misdemeanor convicton related to any securites mater; any federal or state order, judgment, decree or injuncton related to any securites, insurance, banking or U.S. Postal Service mater; any SEC disciplinary or cease and desist order; or any suspension, expulsion or bar related to a registered natonal securites exchange, natonal or afliated securites associaton or member thereof, whether it occurred or was issued before, on or afer September 23, 2013, and agrees that he will notfy the Company immediately upon becoming aware that the foregoing is not, or is no longer, complete and accurate in every material respect, including as a result of events occurring afer the date hereof.</w:t>
      </w:r>
    </w:p>
    <w:p>
      <w:pPr>
        <w:spacing w:after="0" w:line="222" w:lineRule="exact"/>
        <w:rPr>
          <w:rFonts w:ascii="Calibri" w:cs="Calibri" w:eastAsia="Calibri" w:hAnsi="Calibri"/>
          <w:sz w:val="22"/>
          <w:szCs w:val="22"/>
          <w:color w:val="auto"/>
        </w:rPr>
      </w:pPr>
    </w:p>
    <w:p>
      <w:pPr>
        <w:jc w:val="both"/>
        <w:ind w:firstLine="1292"/>
        <w:spacing w:after="0" w:line="242" w:lineRule="auto"/>
        <w:tabs>
          <w:tab w:leader="none" w:pos="1940" w:val="left"/>
        </w:tabs>
        <w:numPr>
          <w:ilvl w:val="0"/>
          <w:numId w:val="139"/>
        </w:numPr>
        <w:rPr>
          <w:rFonts w:ascii="Calibri" w:cs="Calibri" w:eastAsia="Calibri" w:hAnsi="Calibri"/>
          <w:sz w:val="21"/>
          <w:szCs w:val="21"/>
          <w:color w:val="auto"/>
        </w:rPr>
      </w:pPr>
      <w:r>
        <w:rPr>
          <w:rFonts w:ascii="Calibri" w:cs="Calibri" w:eastAsia="Calibri" w:hAnsi="Calibri"/>
          <w:sz w:val="21"/>
          <w:szCs w:val="21"/>
          <w:color w:val="auto"/>
        </w:rPr>
        <w:t xml:space="preserve">The Grantee understands that (A) the Grantee is responsible for consultng his own tax advisors with respect to the applicaton of the U.S. federal income tax laws, and the tax laws of any state, local or other taxing jurisdicton to which the Grantee is or by reason of the award of 2024 LTIP Units (SB) may become subject, to his partcular situaton; (B) the Grantee has not received or relied upon business or tax advice from the Company, the Partnership or any of their respectve employees, agents, consultants or advisors, in their capacity as such; (C) the Grantee provides services to the Partnership on a regular basis and in such capacity has access to such informaton, and has such experience of and involvement in the business and operatons of the Partnership, as the Grantee believes to be necessary and appropriate to make an informed decision to accept the award of 2024 LTIP Units (SB); and (D) an investment in the Partnership and/or the Company involves substantal risks. The Grantee has been given the opportunity to make a thorough investgaton of maters relevant to the 2024 LTIP Units (SB) and has been furnished with, and has reviewed and understands, materials relatng to the Partnership and the Company and their respectve actvites (including, but not limited to, the Background Documents). The Grantee has been aforded the opportunity to obtain any additonal informaton (including any exhibits to the Background Documents) deemed necessary by the Grantee to verify the accuracy of informaton conveyed to the Grantee. The Grantee confrms that all documents, records, and books pertaining to his receipt of 2024 LTIP Units (SB) which were requested by the Grantee have been made available or delivered to the Grantee. The Grantee has had an opportunity to ask questons of and receive answers from the Partnership and the Company, or from a person or persons actng on their behalf, concerning the terms and conditons of the 2024 LTIP Units (SB). </w:t>
      </w:r>
      <w:r>
        <w:rPr>
          <w:rFonts w:ascii="Calibri" w:cs="Calibri" w:eastAsia="Calibri" w:hAnsi="Calibri"/>
          <w:sz w:val="21"/>
          <w:szCs w:val="21"/>
          <w:b w:val="1"/>
          <w:bCs w:val="1"/>
          <w:color w:val="auto"/>
        </w:rPr>
        <w:t>The Grantee has relied upon, and is making its decision solely upon, the</w:t>
      </w:r>
    </w:p>
    <w:p>
      <w:pPr>
        <w:spacing w:after="0" w:line="7" w:lineRule="exact"/>
        <w:rPr>
          <w:rFonts w:ascii="Calibri" w:cs="Calibri" w:eastAsia="Calibri" w:hAnsi="Calibri"/>
          <w:sz w:val="21"/>
          <w:szCs w:val="21"/>
          <w:color w:val="auto"/>
        </w:rPr>
      </w:pPr>
    </w:p>
    <w:p>
      <w:pPr>
        <w:spacing w:after="0"/>
        <w:rPr>
          <w:rFonts w:ascii="Calibri" w:cs="Calibri" w:eastAsia="Calibri" w:hAnsi="Calibri"/>
          <w:sz w:val="21"/>
          <w:szCs w:val="21"/>
          <w:color w:val="auto"/>
        </w:rPr>
      </w:pPr>
      <w:r>
        <w:rPr>
          <w:rFonts w:ascii="Calibri" w:cs="Calibri" w:eastAsia="Calibri" w:hAnsi="Calibri"/>
          <w:sz w:val="22"/>
          <w:szCs w:val="22"/>
          <w:b w:val="1"/>
          <w:bCs w:val="1"/>
          <w:color w:val="auto"/>
        </w:rPr>
        <w:t>Background Documents and other writen informaton provided to the Grantee by the Partnership or the Company.</w:t>
      </w:r>
    </w:p>
    <w:p>
      <w:pPr>
        <w:spacing w:after="0" w:line="200" w:lineRule="exact"/>
        <w:rPr>
          <w:sz w:val="20"/>
          <w:szCs w:val="20"/>
          <w:color w:val="auto"/>
        </w:rPr>
      </w:pPr>
    </w:p>
    <w:p>
      <w:pPr>
        <w:spacing w:after="0" w:line="287" w:lineRule="exact"/>
        <w:rPr>
          <w:sz w:val="20"/>
          <w:szCs w:val="20"/>
          <w:color w:val="auto"/>
        </w:rPr>
      </w:pPr>
    </w:p>
    <w:p>
      <w:pPr>
        <w:ind w:left="4820"/>
        <w:spacing w:after="0"/>
        <w:rPr>
          <w:sz w:val="20"/>
          <w:szCs w:val="20"/>
          <w:color w:val="auto"/>
        </w:rPr>
      </w:pPr>
      <w:r>
        <w:rPr>
          <w:rFonts w:ascii="Calibri" w:cs="Calibri" w:eastAsia="Calibri" w:hAnsi="Calibri"/>
          <w:sz w:val="22"/>
          <w:szCs w:val="22"/>
          <w:color w:val="auto"/>
        </w:rPr>
        <w:t>B-2</w:t>
      </w:r>
    </w:p>
    <w:p>
      <w:pPr>
        <w:sectPr>
          <w:pgSz w:w="11900" w:h="16838" w:orient="portrait"/>
          <w:cols w:equalWidth="0" w:num="1">
            <w:col w:w="10580"/>
          </w:cols>
          <w:pgMar w:left="980" w:top="1407" w:right="339" w:bottom="1440" w:gutter="0" w:footer="0" w:header="0"/>
        </w:sectPr>
      </w:pPr>
    </w:p>
    <w:bookmarkStart w:id="126" w:name="page127"/>
    <w:bookmarkEnd w:id="126"/>
    <w:p>
      <w:pPr>
        <w:jc w:val="both"/>
        <w:ind w:left="4" w:firstLine="1292"/>
        <w:spacing w:after="0" w:line="232" w:lineRule="auto"/>
        <w:tabs>
          <w:tab w:leader="none" w:pos="1943" w:val="left"/>
        </w:tabs>
        <w:numPr>
          <w:ilvl w:val="1"/>
          <w:numId w:val="140"/>
        </w:numPr>
        <w:rPr>
          <w:rFonts w:ascii="Calibri" w:cs="Calibri" w:eastAsia="Calibri" w:hAnsi="Calibri"/>
          <w:sz w:val="22"/>
          <w:szCs w:val="22"/>
          <w:color w:val="auto"/>
        </w:rPr>
      </w:pPr>
      <w:r>
        <w:rPr>
          <w:rFonts w:ascii="Calibri" w:cs="Calibri" w:eastAsia="Calibri" w:hAnsi="Calibri"/>
          <w:sz w:val="22"/>
          <w:szCs w:val="22"/>
          <w:color w:val="auto"/>
        </w:rPr>
        <w:t>The 2024 LTIP Units (SB) to be issued, the Common Units issuable upon conversion of the 2024 LTIP Units (SB) and any REIT Shares issued in connecton with the redempton of any such Common Units will be acquired for the account of the Grantee for investment only and not with a current view to, or with any intenton of, a distributon or resale thereof, in whole or in part, or the grant of any partcipaton therein, without prejudice, however, to the Grantee’s right (subject to the terms of the 2024 LTIP Units (SB), the Stock Plan, the Partnership Agreement, the artcles of organizaton of the Company, as amended, and this Agreement) at all tmes to sell or otherwise dispose of all or any part of his 2024 LTIP Units (SB), Common Units or REIT Shares in compliance with the Securites Act, and applicable state securites laws, and subject, nevertheless, to the dispositon of his assets being at all tmes within his control.</w:t>
      </w:r>
    </w:p>
    <w:p>
      <w:pPr>
        <w:spacing w:after="0" w:line="215" w:lineRule="exact"/>
        <w:rPr>
          <w:rFonts w:ascii="Calibri" w:cs="Calibri" w:eastAsia="Calibri" w:hAnsi="Calibri"/>
          <w:sz w:val="22"/>
          <w:szCs w:val="22"/>
          <w:color w:val="auto"/>
        </w:rPr>
      </w:pPr>
    </w:p>
    <w:p>
      <w:pPr>
        <w:jc w:val="both"/>
        <w:ind w:left="4" w:firstLine="1292"/>
        <w:spacing w:after="0" w:line="242" w:lineRule="auto"/>
        <w:tabs>
          <w:tab w:leader="none" w:pos="1947" w:val="left"/>
        </w:tabs>
        <w:numPr>
          <w:ilvl w:val="1"/>
          <w:numId w:val="140"/>
        </w:numPr>
        <w:rPr>
          <w:rFonts w:ascii="Calibri" w:cs="Calibri" w:eastAsia="Calibri" w:hAnsi="Calibri"/>
          <w:sz w:val="21"/>
          <w:szCs w:val="21"/>
          <w:color w:val="auto"/>
        </w:rPr>
      </w:pPr>
      <w:r>
        <w:rPr>
          <w:rFonts w:ascii="Calibri" w:cs="Calibri" w:eastAsia="Calibri" w:hAnsi="Calibri"/>
          <w:sz w:val="21"/>
          <w:szCs w:val="21"/>
          <w:color w:val="auto"/>
        </w:rPr>
        <w:t>The Grantee acknowledges that (A) neither the 2024 LTIP Units (SB) to be issued, nor the Common Units issuable upon conversion of the 2024 LTIP Units (SB), have been registered under the Securites Act or state securites laws by reason of a specifc exempton or exemptons from registraton under the Securites Act and applicable state securites laws and, if such 2024 LTIP Units (SB) or Common Units are represented by certfcates, such certfcates will bear a legend to such efect, (B) the reliance by the Partnership and the Company on such exemptons is predicated in part on the accuracy and completeness of the representatons and warrantes of the Grantee contained herein,</w:t>
      </w:r>
    </w:p>
    <w:p>
      <w:pPr>
        <w:spacing w:after="0" w:line="3" w:lineRule="exact"/>
        <w:rPr>
          <w:rFonts w:ascii="Calibri" w:cs="Calibri" w:eastAsia="Calibri" w:hAnsi="Calibri"/>
          <w:sz w:val="21"/>
          <w:szCs w:val="21"/>
          <w:color w:val="auto"/>
        </w:rPr>
      </w:pPr>
    </w:p>
    <w:p>
      <w:pPr>
        <w:jc w:val="both"/>
        <w:ind w:left="4" w:hanging="4"/>
        <w:spacing w:after="0" w:line="230" w:lineRule="auto"/>
        <w:tabs>
          <w:tab w:leader="none" w:pos="316" w:val="left"/>
        </w:tabs>
        <w:numPr>
          <w:ilvl w:val="0"/>
          <w:numId w:val="141"/>
        </w:numPr>
        <w:rPr>
          <w:rFonts w:ascii="Calibri" w:cs="Calibri" w:eastAsia="Calibri" w:hAnsi="Calibri"/>
          <w:sz w:val="22"/>
          <w:szCs w:val="22"/>
          <w:color w:val="auto"/>
        </w:rPr>
      </w:pPr>
      <w:r>
        <w:rPr>
          <w:rFonts w:ascii="Calibri" w:cs="Calibri" w:eastAsia="Calibri" w:hAnsi="Calibri"/>
          <w:sz w:val="22"/>
          <w:szCs w:val="22"/>
          <w:color w:val="auto"/>
        </w:rPr>
        <w:t>such 2024 LTIP Units (SB) or Common Units, therefore, cannot be resold unless registered under the Securites Act and applicable state securites laws, or unless an exempton from registraton is available, (D) there is no public market for such 2024 LTIP Units (SB) and Common Units and (E) neither the Partnership nor the Company has any obligaton or intenton to register such 2024 LTIP Units (SB) or the Common Units issuable upon conversion of the 2024 LTIP Units (SB) under the Securites Act or any state securites laws or to take any acton that would make available any exempton from the registraton requirements of such laws, except, that, upon the redempton of the Common Units for REIT Shares, the Company may issue such REIT Shares from the Company’s authorized REIT Shares and pursuant to a Registraton Statement on Form S-8 under the Securites Act, to the extent that (I) the Grantee is eligible to receive such REIT Shares at the tme of such issuance, (II) the Company has fled a Form S-8 Registraton Statement with the Securites and Exchange Commission registering the issuance of such REIT Shares and (III) such Form S-8 is efectve at the tme of the issuance of such REIT Shares. The Grantee hereby acknowledges that because of the restrictons on transfer or assignment of such 2024 LTIP Units (SB) acquired hereby and the Common Units issuable upon conversion of the 2024 LTIP Units (SB) which are set forth in the Partnership Agreement or this Agreement, the Grantee may have to bear the economic risk of his ownership of the 2024 LTIP Units (SB) acquired hereby and the Common Units issuable upon conversion of the 2024 LTIP Units (SB) for an indefnite period of tme.</w:t>
      </w:r>
    </w:p>
    <w:p>
      <w:pPr>
        <w:spacing w:after="0" w:line="231" w:lineRule="exact"/>
        <w:rPr>
          <w:rFonts w:ascii="Calibri" w:cs="Calibri" w:eastAsia="Calibri" w:hAnsi="Calibri"/>
          <w:sz w:val="22"/>
          <w:szCs w:val="22"/>
          <w:color w:val="auto"/>
        </w:rPr>
      </w:pPr>
    </w:p>
    <w:p>
      <w:pPr>
        <w:ind w:left="1944" w:hanging="648"/>
        <w:spacing w:after="0"/>
        <w:tabs>
          <w:tab w:leader="none" w:pos="1944" w:val="left"/>
        </w:tabs>
        <w:numPr>
          <w:ilvl w:val="1"/>
          <w:numId w:val="141"/>
        </w:numPr>
        <w:rPr>
          <w:rFonts w:ascii="Calibri" w:cs="Calibri" w:eastAsia="Calibri" w:hAnsi="Calibri"/>
          <w:sz w:val="22"/>
          <w:szCs w:val="22"/>
          <w:color w:val="auto"/>
        </w:rPr>
      </w:pPr>
      <w:r>
        <w:rPr>
          <w:rFonts w:ascii="Calibri" w:cs="Calibri" w:eastAsia="Calibri" w:hAnsi="Calibri"/>
          <w:sz w:val="22"/>
          <w:szCs w:val="22"/>
          <w:color w:val="auto"/>
        </w:rPr>
        <w:t>The Grantee has determined that the 2024 LTIP Units (SB) are a suitable investment for the</w:t>
      </w:r>
    </w:p>
    <w:p>
      <w:pPr>
        <w:ind w:left="4"/>
        <w:spacing w:after="0" w:line="227" w:lineRule="auto"/>
        <w:rPr>
          <w:rFonts w:ascii="Calibri" w:cs="Calibri" w:eastAsia="Calibri" w:hAnsi="Calibri"/>
          <w:sz w:val="22"/>
          <w:szCs w:val="22"/>
          <w:color w:val="auto"/>
        </w:rPr>
      </w:pPr>
      <w:r>
        <w:rPr>
          <w:rFonts w:ascii="Calibri" w:cs="Calibri" w:eastAsia="Calibri" w:hAnsi="Calibri"/>
          <w:sz w:val="22"/>
          <w:szCs w:val="22"/>
          <w:color w:val="auto"/>
        </w:rPr>
        <w:t>Grantee.</w:t>
      </w:r>
    </w:p>
    <w:p>
      <w:pPr>
        <w:spacing w:after="0" w:line="200" w:lineRule="exact"/>
        <w:rPr>
          <w:sz w:val="20"/>
          <w:szCs w:val="20"/>
          <w:color w:val="auto"/>
        </w:rPr>
      </w:pPr>
    </w:p>
    <w:p>
      <w:pPr>
        <w:spacing w:after="0" w:line="290" w:lineRule="exact"/>
        <w:rPr>
          <w:sz w:val="20"/>
          <w:szCs w:val="20"/>
          <w:color w:val="auto"/>
        </w:rPr>
      </w:pPr>
    </w:p>
    <w:p>
      <w:pPr>
        <w:ind w:left="4824"/>
        <w:spacing w:after="0"/>
        <w:rPr>
          <w:sz w:val="20"/>
          <w:szCs w:val="20"/>
          <w:color w:val="auto"/>
        </w:rPr>
      </w:pPr>
      <w:r>
        <w:rPr>
          <w:rFonts w:ascii="Calibri" w:cs="Calibri" w:eastAsia="Calibri" w:hAnsi="Calibri"/>
          <w:sz w:val="22"/>
          <w:szCs w:val="22"/>
          <w:color w:val="auto"/>
        </w:rPr>
        <w:t>B-3</w:t>
      </w:r>
    </w:p>
    <w:p>
      <w:pPr>
        <w:sectPr>
          <w:pgSz w:w="11900" w:h="16838" w:orient="portrait"/>
          <w:cols w:equalWidth="0" w:num="1">
            <w:col w:w="10584"/>
          </w:cols>
          <w:pgMar w:left="976" w:top="1407" w:right="339" w:bottom="1440" w:gutter="0" w:footer="0" w:header="0"/>
        </w:sectPr>
      </w:pPr>
    </w:p>
    <w:bookmarkStart w:id="127" w:name="page128"/>
    <w:bookmarkEnd w:id="127"/>
    <w:p>
      <w:pPr>
        <w:jc w:val="both"/>
        <w:ind w:left="640" w:firstLine="1292"/>
        <w:spacing w:after="0" w:line="232" w:lineRule="auto"/>
        <w:tabs>
          <w:tab w:leader="none" w:pos="2574" w:val="left"/>
        </w:tabs>
        <w:numPr>
          <w:ilvl w:val="1"/>
          <w:numId w:val="142"/>
        </w:numPr>
        <w:rPr>
          <w:rFonts w:ascii="Calibri" w:cs="Calibri" w:eastAsia="Calibri" w:hAnsi="Calibri"/>
          <w:sz w:val="22"/>
          <w:szCs w:val="22"/>
          <w:color w:val="auto"/>
        </w:rPr>
      </w:pPr>
      <w:r>
        <w:rPr>
          <w:rFonts w:ascii="Calibri" w:cs="Calibri" w:eastAsia="Calibri" w:hAnsi="Calibri"/>
          <w:sz w:val="22"/>
          <w:szCs w:val="22"/>
          <w:color w:val="auto"/>
        </w:rPr>
        <w:t>No representatons or warrantes have been made to the Grantee by the Partnership or the Company, or any ofcer, director, stockholder, agent, or afliate of any of them, and the Grantee has received no informaton relatng to an investment in the Partnership or the 2024 LTIP Units (SB) except the informaton specifed in paragraph (b) above.</w:t>
      </w:r>
    </w:p>
    <w:p>
      <w:pPr>
        <w:spacing w:after="0" w:line="244" w:lineRule="exact"/>
        <w:rPr>
          <w:rFonts w:ascii="Calibri" w:cs="Calibri" w:eastAsia="Calibri" w:hAnsi="Calibri"/>
          <w:sz w:val="22"/>
          <w:szCs w:val="22"/>
          <w:color w:val="auto"/>
        </w:rPr>
      </w:pPr>
    </w:p>
    <w:p>
      <w:pPr>
        <w:jc w:val="both"/>
        <w:ind w:left="-20" w:firstLine="1304"/>
        <w:spacing w:after="0" w:line="229" w:lineRule="auto"/>
        <w:tabs>
          <w:tab w:leader="none" w:pos="1932" w:val="left"/>
        </w:tabs>
        <w:numPr>
          <w:ilvl w:val="0"/>
          <w:numId w:val="143"/>
        </w:numPr>
        <w:rPr>
          <w:rFonts w:ascii="Cambria" w:cs="Cambria" w:eastAsia="Cambria" w:hAnsi="Cambria"/>
          <w:sz w:val="22"/>
          <w:szCs w:val="22"/>
          <w:b w:val="1"/>
          <w:bCs w:val="1"/>
          <w:color w:val="auto"/>
        </w:rPr>
      </w:pPr>
      <w:r>
        <w:rPr>
          <w:rFonts w:ascii="Calibri" w:cs="Calibri" w:eastAsia="Calibri" w:hAnsi="Calibri"/>
          <w:sz w:val="22"/>
          <w:szCs w:val="22"/>
          <w:color w:val="auto"/>
        </w:rPr>
        <w:t>So long as the Grantee holds any 2024 LTIP Units (SB), the Grantee shall disclose to the Partnership in writng such informaton as may be reasonably requested with respect to ownership of 2024 LTIP Units (SB) as the Partnership may deem reasonably necessary to ascertain and to establish compliance with provisions of the Code, applicable to the Partnership or to comply with requirements of any other appropriate taxing authority.</w:t>
      </w:r>
    </w:p>
    <w:p>
      <w:pPr>
        <w:spacing w:after="0" w:line="257" w:lineRule="exact"/>
        <w:rPr>
          <w:rFonts w:ascii="Cambria" w:cs="Cambria" w:eastAsia="Cambria" w:hAnsi="Cambria"/>
          <w:sz w:val="22"/>
          <w:szCs w:val="22"/>
          <w:b w:val="1"/>
          <w:bCs w:val="1"/>
          <w:color w:val="auto"/>
        </w:rPr>
      </w:pPr>
    </w:p>
    <w:p>
      <w:pPr>
        <w:jc w:val="both"/>
        <w:ind w:left="-20" w:firstLine="1304"/>
        <w:spacing w:after="0" w:line="229" w:lineRule="auto"/>
        <w:tabs>
          <w:tab w:leader="none" w:pos="1932" w:val="left"/>
        </w:tabs>
        <w:numPr>
          <w:ilvl w:val="0"/>
          <w:numId w:val="143"/>
        </w:numPr>
        <w:rPr>
          <w:rFonts w:ascii="Cambria" w:cs="Cambria" w:eastAsia="Cambria" w:hAnsi="Cambria"/>
          <w:sz w:val="22"/>
          <w:szCs w:val="22"/>
          <w:b w:val="1"/>
          <w:bCs w:val="1"/>
          <w:color w:val="auto"/>
        </w:rPr>
      </w:pPr>
      <w:r>
        <w:rPr>
          <w:rFonts w:ascii="Calibri" w:cs="Calibri" w:eastAsia="Calibri" w:hAnsi="Calibri"/>
          <w:sz w:val="22"/>
          <w:szCs w:val="22"/>
          <w:color w:val="auto"/>
        </w:rPr>
        <w:t>The address set forth on the signature page of this Agreement is the address of the Grantee’s principal residence, and the Grantee has no present intenton of becoming a resident of any country, state or jurisdicton other than the country and state in which such residence is sited.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B-4</w:t>
      </w:r>
    </w:p>
    <w:p>
      <w:pPr>
        <w:sectPr>
          <w:pgSz w:w="11900" w:h="16838" w:orient="portrait"/>
          <w:cols w:equalWidth="0" w:num="1">
            <w:col w:w="11220"/>
          </w:cols>
          <w:pgMar w:left="340" w:top="1407" w:right="339" w:bottom="1440" w:gutter="0" w:footer="0" w:header="0"/>
        </w:sectPr>
      </w:pPr>
    </w:p>
    <w:bookmarkStart w:id="128" w:name="page129"/>
    <w:bookmarkEnd w:id="128"/>
    <w:p>
      <w:pPr>
        <w:jc w:val="center"/>
        <w:spacing w:after="0"/>
        <w:rPr>
          <w:sz w:val="20"/>
          <w:szCs w:val="20"/>
          <w:color w:val="auto"/>
        </w:rPr>
      </w:pPr>
      <w:r>
        <w:rPr>
          <w:rFonts w:ascii="Calibri" w:cs="Calibri" w:eastAsia="Calibri" w:hAnsi="Calibri"/>
          <w:sz w:val="22"/>
          <w:szCs w:val="22"/>
          <w:b w:val="1"/>
          <w:bCs w:val="1"/>
          <w:u w:val="single" w:color="auto"/>
          <w:color w:val="auto"/>
        </w:rPr>
        <w:t>EXHIBIT C</w:t>
      </w: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ELECTION TO INCLUDE IN GROSS INCOME IN YEAR OF</w:t>
      </w:r>
    </w:p>
    <w:p>
      <w:pPr>
        <w:jc w:val="center"/>
        <w:spacing w:after="0" w:line="227" w:lineRule="auto"/>
        <w:rPr>
          <w:sz w:val="20"/>
          <w:szCs w:val="20"/>
          <w:color w:val="auto"/>
        </w:rPr>
      </w:pPr>
      <w:r>
        <w:rPr>
          <w:rFonts w:ascii="Calibri" w:cs="Calibri" w:eastAsia="Calibri" w:hAnsi="Calibri"/>
          <w:sz w:val="22"/>
          <w:szCs w:val="22"/>
          <w:b w:val="1"/>
          <w:bCs w:val="1"/>
          <w:color w:val="auto"/>
        </w:rPr>
        <w:t>TRANSFER OF PROPERTY PURSUANT TO SECTION 83(b)</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OF THE INTERNAL REVENUE CODE</w:t>
      </w:r>
    </w:p>
    <w:p>
      <w:pPr>
        <w:spacing w:after="0" w:line="217"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The undersigned hereby makes an electon pursuant to Secton 83(b) of the Internal Revenue Code of 1986, as amended, Treasury Regulatons Secton 1.83-2 promulgated thereunder, and Rev. Proc. 2012-29, 2012-28 IRB, 06/26/2012, to include in gross income as compensaton for services the excess (if any) of the fair market value of the property described below over the amount paid for such property.</w:t>
      </w:r>
    </w:p>
    <w:p>
      <w:pPr>
        <w:spacing w:after="0" w:line="220" w:lineRule="exact"/>
        <w:rPr>
          <w:sz w:val="20"/>
          <w:szCs w:val="20"/>
          <w:color w:val="auto"/>
        </w:rPr>
      </w:pPr>
    </w:p>
    <w:p>
      <w:pPr>
        <w:ind w:left="640" w:hanging="632"/>
        <w:spacing w:after="0"/>
        <w:tabs>
          <w:tab w:leader="none" w:pos="640" w:val="left"/>
        </w:tabs>
        <w:numPr>
          <w:ilvl w:val="0"/>
          <w:numId w:val="144"/>
        </w:numPr>
        <w:rPr>
          <w:rFonts w:ascii="Calibri" w:cs="Calibri" w:eastAsia="Calibri" w:hAnsi="Calibri"/>
          <w:sz w:val="22"/>
          <w:szCs w:val="22"/>
          <w:color w:val="auto"/>
        </w:rPr>
      </w:pPr>
      <w:r>
        <w:rPr>
          <w:rFonts w:ascii="Calibri" w:cs="Calibri" w:eastAsia="Calibri" w:hAnsi="Calibri"/>
          <w:sz w:val="22"/>
          <w:szCs w:val="22"/>
          <w:color w:val="auto"/>
        </w:rPr>
        <w:t>The name, address and taxpayer identfcaton number of the undersigned are:</w:t>
      </w:r>
    </w:p>
    <w:p>
      <w:pPr>
        <w:spacing w:after="0" w:line="163" w:lineRule="exact"/>
        <w:rPr>
          <w:sz w:val="20"/>
          <w:szCs w:val="20"/>
          <w:color w:val="auto"/>
        </w:rPr>
      </w:pPr>
    </w:p>
    <w:tbl>
      <w:tblPr>
        <w:tblLayout w:type="fixed"/>
        <w:tblInd w:w="1300" w:type="dxa"/>
        <w:tblCellMar>
          <w:top w:w="0" w:type="dxa"/>
          <w:left w:w="0" w:type="dxa"/>
          <w:bottom w:w="0" w:type="dxa"/>
          <w:right w:w="0" w:type="dxa"/>
        </w:tblCellMar>
      </w:tblPr>
      <w:tr>
        <w:trPr>
          <w:trHeight w:val="269"/>
        </w:trPr>
        <w:tc>
          <w:tcPr>
            <w:tcW w:w="780" w:type="dxa"/>
            <w:vAlign w:val="bottom"/>
          </w:tcPr>
          <w:p>
            <w:pPr>
              <w:spacing w:after="0"/>
              <w:rPr>
                <w:sz w:val="20"/>
                <w:szCs w:val="20"/>
                <w:color w:val="auto"/>
              </w:rPr>
            </w:pPr>
            <w:r>
              <w:rPr>
                <w:rFonts w:ascii="Calibri" w:cs="Calibri" w:eastAsia="Calibri" w:hAnsi="Calibri"/>
                <w:sz w:val="22"/>
                <w:szCs w:val="22"/>
                <w:color w:val="auto"/>
              </w:rPr>
              <w:t>Name:</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gridSpan w:val="4"/>
          </w:tcPr>
          <w:p>
            <w:pPr>
              <w:ind w:left="40"/>
              <w:spacing w:after="0"/>
              <w:rPr>
                <w:sz w:val="20"/>
                <w:szCs w:val="20"/>
                <w:color w:val="auto"/>
              </w:rPr>
            </w:pPr>
            <w:r>
              <w:rPr>
                <w:rFonts w:ascii="Calibri" w:cs="Calibri" w:eastAsia="Calibri" w:hAnsi="Calibri"/>
                <w:sz w:val="22"/>
                <w:szCs w:val="22"/>
                <w:color w:val="auto"/>
                <w:w w:val="95"/>
              </w:rPr>
              <w:t>(the “Taxpayer”)</w:t>
            </w:r>
          </w:p>
        </w:tc>
      </w:tr>
      <w:tr>
        <w:trPr>
          <w:trHeight w:val="398"/>
        </w:trPr>
        <w:tc>
          <w:tcPr>
            <w:tcW w:w="780" w:type="dxa"/>
            <w:vAlign w:val="bottom"/>
          </w:tcPr>
          <w:p>
            <w:pPr>
              <w:spacing w:after="0"/>
              <w:rPr>
                <w:sz w:val="20"/>
                <w:szCs w:val="20"/>
                <w:color w:val="auto"/>
              </w:rPr>
            </w:pPr>
            <w:r>
              <w:rPr>
                <w:rFonts w:ascii="Calibri" w:cs="Calibri" w:eastAsia="Calibri" w:hAnsi="Calibri"/>
                <w:sz w:val="22"/>
                <w:szCs w:val="22"/>
                <w:color w:val="auto"/>
                <w:w w:val="97"/>
              </w:rPr>
              <w:t>Address:</w:t>
            </w: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257175</wp:posOffset>
            </wp:positionV>
            <wp:extent cx="1238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300"/>
        <w:spacing w:after="0"/>
        <w:rPr>
          <w:sz w:val="20"/>
          <w:szCs w:val="20"/>
          <w:color w:val="auto"/>
        </w:rPr>
      </w:pPr>
      <w:r>
        <w:rPr>
          <w:rFonts w:ascii="Calibri" w:cs="Calibri" w:eastAsia="Calibri" w:hAnsi="Calibri"/>
          <w:sz w:val="22"/>
          <w:szCs w:val="22"/>
          <w:color w:val="auto"/>
        </w:rPr>
        <w:t>Social Security No./Taxpayer Identfcaton No.: _____________</w:t>
      </w:r>
    </w:p>
    <w:p>
      <w:pPr>
        <w:spacing w:after="0" w:line="148" w:lineRule="exact"/>
        <w:rPr>
          <w:sz w:val="20"/>
          <w:szCs w:val="20"/>
          <w:color w:val="auto"/>
        </w:rPr>
      </w:pPr>
    </w:p>
    <w:p>
      <w:pPr>
        <w:ind w:left="1300"/>
        <w:spacing w:after="0"/>
        <w:rPr>
          <w:sz w:val="20"/>
          <w:szCs w:val="20"/>
          <w:color w:val="auto"/>
        </w:rPr>
      </w:pPr>
      <w:r>
        <w:rPr>
          <w:rFonts w:ascii="Calibri" w:cs="Calibri" w:eastAsia="Calibri" w:hAnsi="Calibri"/>
          <w:sz w:val="22"/>
          <w:szCs w:val="22"/>
          <w:color w:val="auto"/>
        </w:rPr>
        <w:t>Taxable Year: Calendar Year 2024</w:t>
      </w:r>
    </w:p>
    <w:p>
      <w:pPr>
        <w:spacing w:after="0" w:line="163" w:lineRule="exact"/>
        <w:rPr>
          <w:sz w:val="20"/>
          <w:szCs w:val="20"/>
          <w:color w:val="auto"/>
        </w:rPr>
      </w:pPr>
    </w:p>
    <w:p>
      <w:pPr>
        <w:ind w:left="640" w:hanging="632"/>
        <w:spacing w:after="0"/>
        <w:tabs>
          <w:tab w:leader="none" w:pos="640" w:val="left"/>
        </w:tabs>
        <w:numPr>
          <w:ilvl w:val="0"/>
          <w:numId w:val="145"/>
        </w:numPr>
        <w:rPr>
          <w:rFonts w:ascii="Calibri" w:cs="Calibri" w:eastAsia="Calibri" w:hAnsi="Calibri"/>
          <w:sz w:val="22"/>
          <w:szCs w:val="22"/>
          <w:color w:val="auto"/>
        </w:rPr>
      </w:pPr>
      <w:r>
        <w:rPr>
          <w:rFonts w:ascii="Calibri" w:cs="Calibri" w:eastAsia="Calibri" w:hAnsi="Calibri"/>
          <w:sz w:val="22"/>
          <w:szCs w:val="22"/>
          <w:color w:val="auto"/>
        </w:rPr>
        <w:t>Descripton of property with respect to which the electon is being made:</w:t>
      </w:r>
    </w:p>
    <w:p>
      <w:pPr>
        <w:spacing w:after="0" w:line="216" w:lineRule="exact"/>
        <w:rPr>
          <w:sz w:val="20"/>
          <w:szCs w:val="20"/>
          <w:color w:val="auto"/>
        </w:rPr>
      </w:pPr>
    </w:p>
    <w:p>
      <w:pPr>
        <w:ind w:left="1300"/>
        <w:spacing w:after="0"/>
        <w:rPr>
          <w:sz w:val="20"/>
          <w:szCs w:val="20"/>
          <w:color w:val="auto"/>
        </w:rPr>
      </w:pPr>
      <w:r>
        <w:rPr>
          <w:rFonts w:ascii="Calibri" w:cs="Calibri" w:eastAsia="Calibri" w:hAnsi="Calibri"/>
          <w:sz w:val="21"/>
          <w:szCs w:val="21"/>
          <w:color w:val="auto"/>
        </w:rPr>
        <w:t>The electon is being made with respect to __________ 2024 LTIP Units (SB) in The Macerich Partnership, L.P. (the</w:t>
      </w:r>
    </w:p>
    <w:p>
      <w:pPr>
        <w:ind w:left="1300"/>
        <w:spacing w:after="0" w:line="231"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Partnership</w:t>
      </w:r>
      <w:r>
        <w:rPr>
          <w:rFonts w:ascii="Calibri" w:cs="Calibri" w:eastAsia="Calibri" w:hAnsi="Calibri"/>
          <w:sz w:val="22"/>
          <w:szCs w:val="22"/>
          <w:color w:val="auto"/>
        </w:rPr>
        <w:t>”).</w:t>
      </w:r>
    </w:p>
    <w:p>
      <w:pPr>
        <w:spacing w:after="0" w:line="148" w:lineRule="exact"/>
        <w:rPr>
          <w:sz w:val="20"/>
          <w:szCs w:val="20"/>
          <w:color w:val="auto"/>
        </w:rPr>
      </w:pPr>
    </w:p>
    <w:p>
      <w:pPr>
        <w:ind w:left="640" w:hanging="632"/>
        <w:spacing w:after="0"/>
        <w:tabs>
          <w:tab w:leader="none" w:pos="640" w:val="left"/>
        </w:tabs>
        <w:numPr>
          <w:ilvl w:val="0"/>
          <w:numId w:val="146"/>
        </w:numPr>
        <w:rPr>
          <w:rFonts w:ascii="Calibri" w:cs="Calibri" w:eastAsia="Calibri" w:hAnsi="Calibri"/>
          <w:sz w:val="22"/>
          <w:szCs w:val="22"/>
          <w:color w:val="auto"/>
        </w:rPr>
      </w:pPr>
      <w:r>
        <w:rPr>
          <w:rFonts w:ascii="Calibri" w:cs="Calibri" w:eastAsia="Calibri" w:hAnsi="Calibri"/>
          <w:sz w:val="22"/>
          <w:szCs w:val="22"/>
          <w:color w:val="auto"/>
        </w:rPr>
        <w:t>The date on which the 2024 LTIP Units (SB) were transferred to the undersigned is March 1, 2024.</w:t>
      </w:r>
    </w:p>
    <w:p>
      <w:pPr>
        <w:spacing w:after="0" w:line="203" w:lineRule="exact"/>
        <w:rPr>
          <w:rFonts w:ascii="Calibri" w:cs="Calibri" w:eastAsia="Calibri" w:hAnsi="Calibri"/>
          <w:sz w:val="22"/>
          <w:szCs w:val="22"/>
          <w:color w:val="auto"/>
        </w:rPr>
      </w:pPr>
    </w:p>
    <w:p>
      <w:pPr>
        <w:ind w:left="640" w:hanging="632"/>
        <w:spacing w:after="0"/>
        <w:tabs>
          <w:tab w:leader="none" w:pos="640" w:val="left"/>
        </w:tabs>
        <w:numPr>
          <w:ilvl w:val="0"/>
          <w:numId w:val="146"/>
        </w:numPr>
        <w:rPr>
          <w:rFonts w:ascii="Calibri" w:cs="Calibri" w:eastAsia="Calibri" w:hAnsi="Calibri"/>
          <w:sz w:val="22"/>
          <w:szCs w:val="22"/>
          <w:color w:val="auto"/>
        </w:rPr>
      </w:pPr>
      <w:r>
        <w:rPr>
          <w:rFonts w:ascii="Calibri" w:cs="Calibri" w:eastAsia="Calibri" w:hAnsi="Calibri"/>
          <w:sz w:val="22"/>
          <w:szCs w:val="22"/>
          <w:color w:val="auto"/>
        </w:rPr>
        <w:t>Nature of restrictons to which the 2024 LTIP Units (SB) are subject:</w:t>
      </w:r>
    </w:p>
    <w:p>
      <w:pPr>
        <w:spacing w:after="0" w:line="229" w:lineRule="exact"/>
        <w:rPr>
          <w:rFonts w:ascii="Calibri" w:cs="Calibri" w:eastAsia="Calibri" w:hAnsi="Calibri"/>
          <w:sz w:val="22"/>
          <w:szCs w:val="22"/>
          <w:color w:val="auto"/>
        </w:rPr>
      </w:pPr>
    </w:p>
    <w:p>
      <w:pPr>
        <w:ind w:left="1960" w:hanging="656"/>
        <w:spacing w:after="0" w:line="229" w:lineRule="auto"/>
        <w:tabs>
          <w:tab w:leader="none" w:pos="1744" w:val="left"/>
        </w:tabs>
        <w:numPr>
          <w:ilvl w:val="1"/>
          <w:numId w:val="146"/>
        </w:numPr>
        <w:rPr>
          <w:rFonts w:ascii="Calibri" w:cs="Calibri" w:eastAsia="Calibri" w:hAnsi="Calibri"/>
          <w:sz w:val="22"/>
          <w:szCs w:val="22"/>
          <w:color w:val="auto"/>
        </w:rPr>
      </w:pPr>
      <w:r>
        <w:rPr>
          <w:rFonts w:ascii="Calibri" w:cs="Calibri" w:eastAsia="Calibri" w:hAnsi="Calibri"/>
          <w:sz w:val="22"/>
          <w:szCs w:val="22"/>
          <w:color w:val="auto"/>
        </w:rPr>
        <w:t>Untl the 2024 LTIP Units (SB) vest, the Taxpayer may not transfer in any manner any porton of the 2024 LTIP Units (SB) without the consent of the Partnership.</w:t>
      </w:r>
    </w:p>
    <w:p>
      <w:pPr>
        <w:spacing w:after="0" w:line="216" w:lineRule="exact"/>
        <w:rPr>
          <w:rFonts w:ascii="Calibri" w:cs="Calibri" w:eastAsia="Calibri" w:hAnsi="Calibri"/>
          <w:sz w:val="22"/>
          <w:szCs w:val="22"/>
          <w:color w:val="auto"/>
        </w:rPr>
      </w:pPr>
    </w:p>
    <w:p>
      <w:pPr>
        <w:ind w:left="1960" w:hanging="656"/>
        <w:spacing w:after="0" w:line="229" w:lineRule="auto"/>
        <w:tabs>
          <w:tab w:leader="none" w:pos="1763" w:val="left"/>
        </w:tabs>
        <w:numPr>
          <w:ilvl w:val="1"/>
          <w:numId w:val="146"/>
        </w:numPr>
        <w:rPr>
          <w:rFonts w:ascii="Calibri" w:cs="Calibri" w:eastAsia="Calibri" w:hAnsi="Calibri"/>
          <w:sz w:val="22"/>
          <w:szCs w:val="22"/>
          <w:color w:val="auto"/>
        </w:rPr>
      </w:pPr>
      <w:r>
        <w:rPr>
          <w:rFonts w:ascii="Calibri" w:cs="Calibri" w:eastAsia="Calibri" w:hAnsi="Calibri"/>
          <w:sz w:val="22"/>
          <w:szCs w:val="22"/>
          <w:color w:val="auto"/>
        </w:rPr>
        <w:t>The Taxpayer’s 2024 LTIP Units (SB) vest in accordance with the vestng provisions described in the Schedule atached hereto. Unvested 2024 LTIP Units (SB) are forfeited in accordance with the vestng provisions described in the Schedule atached hereto.</w:t>
      </w:r>
    </w:p>
    <w:p>
      <w:pPr>
        <w:spacing w:after="0" w:line="230" w:lineRule="exact"/>
        <w:rPr>
          <w:rFonts w:ascii="Calibri" w:cs="Calibri" w:eastAsia="Calibri" w:hAnsi="Calibri"/>
          <w:sz w:val="22"/>
          <w:szCs w:val="22"/>
          <w:color w:val="auto"/>
        </w:rPr>
      </w:pPr>
    </w:p>
    <w:p>
      <w:pPr>
        <w:jc w:val="both"/>
        <w:ind w:firstLine="8"/>
        <w:spacing w:after="0" w:line="229" w:lineRule="auto"/>
        <w:tabs>
          <w:tab w:leader="none" w:pos="636" w:val="left"/>
        </w:tabs>
        <w:numPr>
          <w:ilvl w:val="0"/>
          <w:numId w:val="146"/>
        </w:numPr>
        <w:rPr>
          <w:rFonts w:ascii="Calibri" w:cs="Calibri" w:eastAsia="Calibri" w:hAnsi="Calibri"/>
          <w:sz w:val="22"/>
          <w:szCs w:val="22"/>
          <w:color w:val="auto"/>
        </w:rPr>
      </w:pPr>
      <w:r>
        <w:rPr>
          <w:rFonts w:ascii="Calibri" w:cs="Calibri" w:eastAsia="Calibri" w:hAnsi="Calibri"/>
          <w:sz w:val="22"/>
          <w:szCs w:val="22"/>
          <w:color w:val="auto"/>
        </w:rPr>
        <w:t>The fair market value at tme of transfer (determined without regard to any restrictons other than a nonlapse restricton as defned in Treasury Regulatons Secton 1.83-3(h)) of the 2024 LTIP Units (SB) with respect to which this electon is being made was $0 per 2024 LTIP Unit (SB).</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C-1</w:t>
      </w:r>
    </w:p>
    <w:p>
      <w:pPr>
        <w:sectPr>
          <w:pgSz w:w="11900" w:h="16838" w:orient="portrait"/>
          <w:cols w:equalWidth="0" w:num="1">
            <w:col w:w="11240"/>
          </w:cols>
          <w:pgMar w:left="320" w:top="1396" w:right="339" w:bottom="1440" w:gutter="0" w:footer="0" w:header="0"/>
        </w:sectPr>
      </w:pPr>
    </w:p>
    <w:bookmarkStart w:id="129" w:name="page130"/>
    <w:bookmarkEnd w:id="129"/>
    <w:p>
      <w:pPr>
        <w:ind w:left="640" w:hanging="632"/>
        <w:spacing w:after="0"/>
        <w:tabs>
          <w:tab w:leader="none" w:pos="640" w:val="left"/>
        </w:tabs>
        <w:numPr>
          <w:ilvl w:val="0"/>
          <w:numId w:val="147"/>
        </w:numPr>
        <w:rPr>
          <w:rFonts w:ascii="Calibri" w:cs="Calibri" w:eastAsia="Calibri" w:hAnsi="Calibri"/>
          <w:sz w:val="22"/>
          <w:szCs w:val="22"/>
          <w:color w:val="auto"/>
        </w:rPr>
      </w:pPr>
      <w:r>
        <w:rPr>
          <w:rFonts w:ascii="Calibri" w:cs="Calibri" w:eastAsia="Calibri" w:hAnsi="Calibri"/>
          <w:sz w:val="22"/>
          <w:szCs w:val="22"/>
          <w:color w:val="auto"/>
        </w:rPr>
        <w:t>The amount paid by the Taxpayer for the 2024 LTIP Units (SB) was $0 per 2024 LTIP Unit (SB).</w:t>
      </w:r>
    </w:p>
    <w:p>
      <w:pPr>
        <w:spacing w:after="0" w:line="203" w:lineRule="exact"/>
        <w:rPr>
          <w:rFonts w:ascii="Calibri" w:cs="Calibri" w:eastAsia="Calibri" w:hAnsi="Calibri"/>
          <w:sz w:val="22"/>
          <w:szCs w:val="22"/>
          <w:color w:val="auto"/>
        </w:rPr>
      </w:pPr>
    </w:p>
    <w:p>
      <w:pPr>
        <w:ind w:left="640" w:hanging="632"/>
        <w:spacing w:after="0"/>
        <w:tabs>
          <w:tab w:leader="none" w:pos="640" w:val="left"/>
        </w:tabs>
        <w:numPr>
          <w:ilvl w:val="0"/>
          <w:numId w:val="147"/>
        </w:numPr>
        <w:rPr>
          <w:rFonts w:ascii="Calibri" w:cs="Calibri" w:eastAsia="Calibri" w:hAnsi="Calibri"/>
          <w:sz w:val="22"/>
          <w:szCs w:val="22"/>
          <w:color w:val="auto"/>
        </w:rPr>
      </w:pPr>
      <w:r>
        <w:rPr>
          <w:rFonts w:ascii="Calibri" w:cs="Calibri" w:eastAsia="Calibri" w:hAnsi="Calibri"/>
          <w:sz w:val="22"/>
          <w:szCs w:val="22"/>
          <w:color w:val="auto"/>
        </w:rPr>
        <w:t>The amount to include in gross income is $0.</w:t>
      </w:r>
    </w:p>
    <w:p>
      <w:pPr>
        <w:spacing w:after="0" w:line="214" w:lineRule="exact"/>
        <w:rPr>
          <w:sz w:val="20"/>
          <w:szCs w:val="20"/>
          <w:color w:val="auto"/>
        </w:rPr>
      </w:pPr>
    </w:p>
    <w:p>
      <w:pPr>
        <w:jc w:val="both"/>
        <w:spacing w:after="0" w:line="232" w:lineRule="auto"/>
        <w:rPr>
          <w:sz w:val="20"/>
          <w:szCs w:val="20"/>
          <w:color w:val="auto"/>
        </w:rPr>
      </w:pPr>
      <w:r>
        <w:rPr>
          <w:rFonts w:ascii="Calibri" w:cs="Calibri" w:eastAsia="Calibri" w:hAnsi="Calibri"/>
          <w:sz w:val="22"/>
          <w:szCs w:val="22"/>
          <w:color w:val="auto"/>
        </w:rPr>
        <w:t>The undersigned taxpayer will fle this electon with the Internal Revenue Service ofce with which taxpayer fles his or her annual income tax return not later than 30 days afer the date of transfer of the property. A copy of the electon also will be furnished to the person for whom the services were performed. The undersigned is the person performing the services in connecton with which the property was transferred.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-23495</wp:posOffset>
            </wp:positionV>
            <wp:extent cx="1238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241300</wp:posOffset>
            </wp:positionV>
            <wp:extent cx="123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C-2</w:t>
      </w:r>
    </w:p>
    <w:p>
      <w:pPr>
        <w:sectPr>
          <w:pgSz w:w="11900" w:h="16838" w:orient="portrait"/>
          <w:cols w:equalWidth="0" w:num="1">
            <w:col w:w="11240"/>
          </w:cols>
          <w:pgMar w:left="320" w:top="1396" w:right="339" w:bottom="1440" w:gutter="0" w:footer="0" w:header="0"/>
        </w:sectPr>
      </w:pPr>
    </w:p>
    <w:bookmarkStart w:id="130" w:name="page131"/>
    <w:bookmarkEnd w:id="130"/>
    <w:p>
      <w:pPr>
        <w:jc w:val="center"/>
        <w:ind w:right="-19"/>
        <w:spacing w:after="0"/>
        <w:rPr>
          <w:sz w:val="20"/>
          <w:szCs w:val="20"/>
          <w:color w:val="auto"/>
        </w:rPr>
      </w:pPr>
      <w:r>
        <w:rPr>
          <w:rFonts w:ascii="Calibri" w:cs="Calibri" w:eastAsia="Calibri" w:hAnsi="Calibri"/>
          <w:sz w:val="22"/>
          <w:szCs w:val="22"/>
          <w:b w:val="1"/>
          <w:bCs w:val="1"/>
          <w:u w:val="single" w:color="auto"/>
          <w:color w:val="auto"/>
        </w:rPr>
        <w:t>SCHEDULE TO 83(b) ELECTION</w:t>
      </w: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Vestng Provisions of 2024 LTIP Units (SB)</w:t>
      </w:r>
    </w:p>
    <w:p>
      <w:pPr>
        <w:spacing w:after="0" w:line="214"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2"/>
          <w:szCs w:val="22"/>
          <w:color w:val="auto"/>
        </w:rPr>
        <w:t>LTIP Units are subject to service-based vestng with 33 1/3% of such units vestng on each of December 31, 2024, December 31, 2025, and December 31, 2026. The above vestng is conditoned upon the Taxpayer’s contnuous service with The Macerich Company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 or a subsidiary or afliate thereof, through the applicable vestng dates, and subject to acceleraton or contnued vestng in the event of a change of control of the Company or terminaton of the Taxpayer’s service relatonship with the Company under specifed circumstances. Unvested LTIP Units are subject to forfeiture in the event of failure to vest based on the passage of tme and contnued service with the Company, or a subsidiary or afliate thereof.</w:t>
      </w:r>
    </w:p>
    <w:p>
      <w:pPr>
        <w:sectPr>
          <w:pgSz w:w="11900" w:h="16838" w:orient="portrait"/>
          <w:cols w:equalWidth="0" w:num="1">
            <w:col w:w="11240"/>
          </w:cols>
          <w:pgMar w:left="320" w:top="1396" w:right="339" w:bottom="1440" w:gutter="0" w:footer="0" w:header="0"/>
        </w:sectPr>
      </w:pPr>
    </w:p>
    <w:bookmarkStart w:id="131" w:name="page132"/>
    <w:bookmarkEnd w:id="131"/>
    <w:p>
      <w:pPr>
        <w:jc w:val="center"/>
        <w:ind w:right="20"/>
        <w:spacing w:after="0"/>
        <w:rPr>
          <w:sz w:val="20"/>
          <w:szCs w:val="20"/>
          <w:color w:val="auto"/>
        </w:rPr>
      </w:pPr>
      <w:r>
        <w:rPr>
          <w:rFonts w:ascii="Calibri" w:cs="Calibri" w:eastAsia="Calibri" w:hAnsi="Calibri"/>
          <w:sz w:val="22"/>
          <w:szCs w:val="22"/>
          <w:b w:val="1"/>
          <w:bCs w:val="1"/>
          <w:color w:val="auto"/>
        </w:rPr>
        <w:t>SCHEDULE A TO 2024 LTIP INDUCEMENT UNIT AWARD AGREEMENT</w:t>
      </w:r>
    </w:p>
    <w:p>
      <w:pPr>
        <w:jc w:val="center"/>
        <w:ind w:right="20"/>
        <w:spacing w:after="0" w:line="229" w:lineRule="auto"/>
        <w:rPr>
          <w:sz w:val="20"/>
          <w:szCs w:val="20"/>
          <w:color w:val="auto"/>
        </w:rPr>
      </w:pPr>
      <w:r>
        <w:rPr>
          <w:rFonts w:ascii="Calibri" w:cs="Calibri" w:eastAsia="Calibri" w:hAnsi="Calibri"/>
          <w:sz w:val="22"/>
          <w:szCs w:val="22"/>
          <w:b w:val="1"/>
          <w:bCs w:val="1"/>
          <w:color w:val="auto"/>
        </w:rPr>
        <w:t>(Service-Based)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620" w:type="dxa"/>
            <w:vAlign w:val="bottom"/>
            <w:tcBorders>
              <w:top w:val="single" w:sz="8" w:color="auto"/>
              <w:left w:val="single" w:sz="8" w:color="auto"/>
              <w:bottom w:val="single" w:sz="8" w:color="auto"/>
            </w:tcBorders>
            <w:gridSpan w:val="4"/>
          </w:tcPr>
          <w:p>
            <w:pPr>
              <w:ind w:left="40"/>
              <w:spacing w:after="0"/>
              <w:rPr>
                <w:sz w:val="20"/>
                <w:szCs w:val="20"/>
                <w:color w:val="auto"/>
              </w:rPr>
            </w:pPr>
            <w:r>
              <w:rPr>
                <w:rFonts w:ascii="Calibri" w:cs="Calibri" w:eastAsia="Calibri" w:hAnsi="Calibri"/>
                <w:sz w:val="22"/>
                <w:szCs w:val="22"/>
                <w:color w:val="auto"/>
              </w:rPr>
              <w:t>Date of Award Agreement:</w:t>
            </w:r>
          </w:p>
        </w:tc>
        <w:tc>
          <w:tcPr>
            <w:tcW w:w="2760" w:type="dxa"/>
            <w:vAlign w:val="bottom"/>
            <w:tcBorders>
              <w:top w:val="single" w:sz="8" w:color="auto"/>
              <w:bottom w:val="single" w:sz="8" w:color="auto"/>
              <w:right w:val="single" w:sz="8" w:color="auto"/>
            </w:tcBorders>
          </w:tcPr>
          <w:p>
            <w:pPr>
              <w:spacing w:after="0"/>
              <w:rPr>
                <w:sz w:val="24"/>
                <w:szCs w:val="24"/>
                <w:color w:val="auto"/>
              </w:rPr>
            </w:pPr>
          </w:p>
        </w:tc>
        <w:tc>
          <w:tcPr>
            <w:tcW w:w="2200" w:type="dxa"/>
            <w:vAlign w:val="bottom"/>
            <w:tcBorders>
              <w:top w:val="single" w:sz="8" w:color="auto"/>
              <w:bottom w:val="single" w:sz="8" w:color="auto"/>
            </w:tcBorders>
            <w:gridSpan w:val="2"/>
          </w:tcPr>
          <w:p>
            <w:pPr>
              <w:spacing w:after="0"/>
              <w:rPr>
                <w:sz w:val="20"/>
                <w:szCs w:val="20"/>
                <w:color w:val="auto"/>
              </w:rPr>
            </w:pPr>
            <w:r>
              <w:rPr>
                <w:rFonts w:ascii="Calibri" w:cs="Calibri" w:eastAsia="Calibri" w:hAnsi="Calibri"/>
                <w:sz w:val="22"/>
                <w:szCs w:val="22"/>
                <w:color w:val="auto"/>
              </w:rPr>
              <w:t>March 1, 2024</w:t>
            </w:r>
          </w:p>
        </w:tc>
        <w:tc>
          <w:tcPr>
            <w:tcW w:w="16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20" w:type="dxa"/>
            <w:vAlign w:val="bottom"/>
            <w:tcBorders>
              <w:left w:val="single" w:sz="8" w:color="auto"/>
              <w:bottom w:val="single" w:sz="8" w:color="auto"/>
            </w:tcBorders>
            <w:gridSpan w:val="4"/>
          </w:tcPr>
          <w:p>
            <w:pPr>
              <w:ind w:left="40"/>
              <w:spacing w:after="0" w:line="258" w:lineRule="exact"/>
              <w:rPr>
                <w:sz w:val="20"/>
                <w:szCs w:val="20"/>
                <w:color w:val="auto"/>
              </w:rPr>
            </w:pPr>
            <w:r>
              <w:rPr>
                <w:rFonts w:ascii="Calibri" w:cs="Calibri" w:eastAsia="Calibri" w:hAnsi="Calibri"/>
                <w:sz w:val="22"/>
                <w:szCs w:val="22"/>
                <w:color w:val="auto"/>
              </w:rPr>
              <w:t>Name of Grantee:</w:t>
            </w:r>
          </w:p>
        </w:tc>
        <w:tc>
          <w:tcPr>
            <w:tcW w:w="27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tcBorders>
            <w:gridSpan w:val="2"/>
          </w:tcPr>
          <w:p>
            <w:pPr>
              <w:spacing w:after="0" w:line="258" w:lineRule="exact"/>
              <w:rPr>
                <w:sz w:val="20"/>
                <w:szCs w:val="20"/>
                <w:color w:val="auto"/>
              </w:rPr>
            </w:pPr>
            <w:r>
              <w:rPr>
                <w:rFonts w:ascii="Calibri" w:cs="Calibri" w:eastAsia="Calibri" w:hAnsi="Calibri"/>
                <w:sz w:val="22"/>
                <w:szCs w:val="22"/>
                <w:color w:val="auto"/>
              </w:rPr>
              <w:t>Jackson Hsieh</w:t>
            </w:r>
          </w:p>
        </w:tc>
        <w:tc>
          <w:tcPr>
            <w:tcW w:w="162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Borders>
              <w:left w:val="single" w:sz="8" w:color="auto"/>
              <w:bottom w:val="single" w:sz="8" w:color="auto"/>
            </w:tcBorders>
          </w:tcPr>
          <w:p>
            <w:pPr>
              <w:spacing w:after="0"/>
              <w:rPr>
                <w:sz w:val="22"/>
                <w:szCs w:val="22"/>
                <w:color w:val="auto"/>
              </w:rPr>
            </w:pPr>
          </w:p>
        </w:tc>
        <w:tc>
          <w:tcPr>
            <w:tcW w:w="6340" w:type="dxa"/>
            <w:vAlign w:val="bottom"/>
            <w:tcBorders>
              <w:bottom w:val="single" w:sz="8" w:color="auto"/>
              <w:right w:val="single" w:sz="8" w:color="auto"/>
            </w:tcBorders>
            <w:gridSpan w:val="4"/>
          </w:tcPr>
          <w:p>
            <w:pPr>
              <w:jc w:val="right"/>
              <w:ind w:right="1912"/>
              <w:spacing w:after="0" w:line="256" w:lineRule="exact"/>
              <w:rPr>
                <w:sz w:val="20"/>
                <w:szCs w:val="20"/>
                <w:color w:val="auto"/>
              </w:rPr>
            </w:pPr>
            <w:r>
              <w:rPr>
                <w:rFonts w:ascii="Calibri" w:cs="Calibri" w:eastAsia="Calibri" w:hAnsi="Calibri"/>
                <w:sz w:val="22"/>
                <w:szCs w:val="22"/>
                <w:color w:val="auto"/>
                <w:w w:val="98"/>
              </w:rPr>
              <w:t>Number of 2024 LTIP Units (SB) Subject to Grant:</w:t>
            </w:r>
          </w:p>
        </w:tc>
        <w:tc>
          <w:tcPr>
            <w:tcW w:w="1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20" w:type="dxa"/>
            <w:vAlign w:val="bottom"/>
            <w:tcBorders>
              <w:left w:val="single" w:sz="8" w:color="auto"/>
              <w:bottom w:val="single" w:sz="8" w:color="auto"/>
            </w:tcBorders>
            <w:gridSpan w:val="4"/>
          </w:tcPr>
          <w:p>
            <w:pPr>
              <w:ind w:left="40"/>
              <w:spacing w:after="0" w:line="258" w:lineRule="exact"/>
              <w:rPr>
                <w:sz w:val="20"/>
                <w:szCs w:val="20"/>
                <w:color w:val="auto"/>
              </w:rPr>
            </w:pPr>
            <w:r>
              <w:rPr>
                <w:rFonts w:ascii="Calibri" w:cs="Calibri" w:eastAsia="Calibri" w:hAnsi="Calibri"/>
                <w:sz w:val="22"/>
                <w:szCs w:val="22"/>
                <w:color w:val="auto"/>
              </w:rPr>
              <w:t>Grant Date:</w:t>
            </w:r>
          </w:p>
        </w:tc>
        <w:tc>
          <w:tcPr>
            <w:tcW w:w="27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tcBorders>
            <w:gridSpan w:val="2"/>
          </w:tcPr>
          <w:p>
            <w:pPr>
              <w:spacing w:after="0" w:line="258" w:lineRule="exact"/>
              <w:rPr>
                <w:sz w:val="20"/>
                <w:szCs w:val="20"/>
                <w:color w:val="auto"/>
              </w:rPr>
            </w:pPr>
            <w:r>
              <w:rPr>
                <w:rFonts w:ascii="Calibri" w:cs="Calibri" w:eastAsia="Calibri" w:hAnsi="Calibri"/>
                <w:sz w:val="22"/>
                <w:szCs w:val="22"/>
                <w:color w:val="auto"/>
              </w:rPr>
              <w:t>March 1, 2024</w:t>
            </w:r>
          </w:p>
        </w:tc>
        <w:tc>
          <w:tcPr>
            <w:tcW w:w="162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26"/>
        </w:trPr>
        <w:tc>
          <w:tcPr>
            <w:tcW w:w="3620" w:type="dxa"/>
            <w:vAlign w:val="bottom"/>
            <w:gridSpan w:val="4"/>
          </w:tcPr>
          <w:p>
            <w:pPr>
              <w:spacing w:after="0"/>
              <w:rPr>
                <w:sz w:val="20"/>
                <w:szCs w:val="20"/>
                <w:color w:val="auto"/>
              </w:rPr>
            </w:pPr>
            <w:r>
              <w:rPr>
                <w:rFonts w:ascii="Calibri" w:cs="Calibri" w:eastAsia="Calibri" w:hAnsi="Calibri"/>
                <w:sz w:val="22"/>
                <w:szCs w:val="22"/>
                <w:color w:val="auto"/>
              </w:rPr>
              <w:t>Vestng Schedule:</w:t>
            </w:r>
          </w:p>
        </w:tc>
        <w:tc>
          <w:tcPr>
            <w:tcW w:w="2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8"/>
        </w:trPr>
        <w:tc>
          <w:tcPr>
            <w:tcW w:w="40" w:type="dxa"/>
            <w:vAlign w:val="bottom"/>
            <w:tcBorders>
              <w:lef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392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22"/>
                <w:szCs w:val="22"/>
                <w:color w:val="auto"/>
              </w:rPr>
              <w:t>Number of 2024 LTIP Units (SB) Becoming</w:t>
            </w:r>
          </w:p>
        </w:tc>
        <w:tc>
          <w:tcPr>
            <w:tcW w:w="1040" w:type="dxa"/>
            <w:vAlign w:val="bottom"/>
          </w:tcPr>
          <w:p>
            <w:pPr>
              <w:spacing w:after="0"/>
              <w:rPr>
                <w:sz w:val="24"/>
                <w:szCs w:val="24"/>
                <w:color w:val="auto"/>
              </w:rPr>
            </w:pPr>
          </w:p>
        </w:tc>
        <w:tc>
          <w:tcPr>
            <w:tcW w:w="2680" w:type="dxa"/>
            <w:vAlign w:val="bottom"/>
            <w:tcBorders>
              <w:right w:val="single" w:sz="8" w:color="auto"/>
            </w:tcBorders>
            <w:gridSpan w:val="2"/>
          </w:tcPr>
          <w:p>
            <w:pPr>
              <w:jc w:val="center"/>
              <w:ind w:right="1060"/>
              <w:spacing w:after="0"/>
              <w:rPr>
                <w:sz w:val="20"/>
                <w:szCs w:val="20"/>
                <w:color w:val="auto"/>
              </w:rPr>
            </w:pPr>
            <w:r>
              <w:rPr>
                <w:rFonts w:ascii="Calibri" w:cs="Calibri" w:eastAsia="Calibri" w:hAnsi="Calibri"/>
                <w:sz w:val="22"/>
                <w:szCs w:val="22"/>
                <w:color w:val="auto"/>
              </w:rPr>
              <w:t>Cumulatve</w:t>
            </w:r>
          </w:p>
        </w:tc>
        <w:tc>
          <w:tcPr>
            <w:tcW w:w="0" w:type="dxa"/>
            <w:vAlign w:val="bottom"/>
          </w:tcPr>
          <w:p>
            <w:pPr>
              <w:spacing w:after="0"/>
              <w:rPr>
                <w:sz w:val="1"/>
                <w:szCs w:val="1"/>
                <w:color w:val="auto"/>
              </w:rPr>
            </w:pPr>
          </w:p>
        </w:tc>
      </w:tr>
      <w:tr>
        <w:trPr>
          <w:trHeight w:val="218"/>
        </w:trPr>
        <w:tc>
          <w:tcPr>
            <w:tcW w:w="3620" w:type="dxa"/>
            <w:vAlign w:val="bottom"/>
            <w:tcBorders>
              <w:left w:val="single" w:sz="8" w:color="auto"/>
              <w:right w:val="single" w:sz="8" w:color="auto"/>
            </w:tcBorders>
            <w:gridSpan w:val="4"/>
            <w:vMerge w:val="restart"/>
          </w:tcPr>
          <w:p>
            <w:pPr>
              <w:ind w:left="40"/>
              <w:spacing w:after="0"/>
              <w:rPr>
                <w:sz w:val="20"/>
                <w:szCs w:val="20"/>
                <w:color w:val="auto"/>
              </w:rPr>
            </w:pPr>
            <w:r>
              <w:rPr>
                <w:rFonts w:ascii="Calibri" w:cs="Calibri" w:eastAsia="Calibri" w:hAnsi="Calibri"/>
                <w:sz w:val="22"/>
                <w:szCs w:val="22"/>
                <w:color w:val="auto"/>
              </w:rPr>
              <w:t>Vestng Date</w:t>
            </w:r>
          </w:p>
        </w:tc>
        <w:tc>
          <w:tcPr>
            <w:tcW w:w="2760" w:type="dxa"/>
            <w:vAlign w:val="bottom"/>
          </w:tcPr>
          <w:p>
            <w:pPr>
              <w:jc w:val="right"/>
              <w:ind w:right="412"/>
              <w:spacing w:after="0" w:line="218" w:lineRule="exact"/>
              <w:rPr>
                <w:sz w:val="20"/>
                <w:szCs w:val="20"/>
                <w:color w:val="auto"/>
              </w:rPr>
            </w:pPr>
            <w:r>
              <w:rPr>
                <w:rFonts w:ascii="Calibri" w:cs="Calibri" w:eastAsia="Calibri" w:hAnsi="Calibri"/>
                <w:sz w:val="22"/>
                <w:szCs w:val="22"/>
                <w:color w:val="auto"/>
              </w:rPr>
              <w:t>Vested</w:t>
            </w:r>
          </w:p>
        </w:tc>
        <w:tc>
          <w:tcPr>
            <w:tcW w:w="116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tcBorders>
              <w:right w:val="single" w:sz="8" w:color="auto"/>
            </w:tcBorders>
            <w:gridSpan w:val="2"/>
          </w:tcPr>
          <w:p>
            <w:pPr>
              <w:jc w:val="center"/>
              <w:ind w:right="1060"/>
              <w:spacing w:after="0" w:line="218" w:lineRule="exact"/>
              <w:rPr>
                <w:sz w:val="20"/>
                <w:szCs w:val="20"/>
                <w:color w:val="auto"/>
              </w:rPr>
            </w:pPr>
            <w:r>
              <w:rPr>
                <w:rFonts w:ascii="Calibri" w:cs="Calibri" w:eastAsia="Calibri" w:hAnsi="Calibri"/>
                <w:sz w:val="22"/>
                <w:szCs w:val="22"/>
                <w:color w:val="auto"/>
                <w:w w:val="96"/>
              </w:rPr>
              <w:t>Percentage Vested</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right w:val="single" w:sz="8" w:color="auto"/>
            </w:tcBorders>
            <w:gridSpan w:val="4"/>
            <w:vMerge w:val="continue"/>
          </w:tcPr>
          <w:p>
            <w:pPr>
              <w:spacing w:after="0"/>
              <w:rPr>
                <w:sz w:val="19"/>
                <w:szCs w:val="19"/>
                <w:color w:val="auto"/>
              </w:rPr>
            </w:pPr>
          </w:p>
        </w:tc>
        <w:tc>
          <w:tcPr>
            <w:tcW w:w="276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gridSpan w:val="4"/>
          </w:tcPr>
          <w:p>
            <w:pPr>
              <w:ind w:left="40"/>
              <w:spacing w:after="0" w:line="249" w:lineRule="exact"/>
              <w:rPr>
                <w:sz w:val="20"/>
                <w:szCs w:val="20"/>
                <w:color w:val="auto"/>
              </w:rPr>
            </w:pPr>
            <w:r>
              <w:rPr>
                <w:rFonts w:ascii="Calibri" w:cs="Calibri" w:eastAsia="Calibri" w:hAnsi="Calibri"/>
                <w:sz w:val="22"/>
                <w:szCs w:val="22"/>
                <w:color w:val="auto"/>
              </w:rPr>
              <w:t>December 31, 2024</w:t>
            </w:r>
          </w:p>
        </w:tc>
        <w:tc>
          <w:tcPr>
            <w:tcW w:w="276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(33 1/3%)</w:t>
            </w:r>
          </w:p>
        </w:tc>
        <w:tc>
          <w:tcPr>
            <w:tcW w:w="116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jc w:val="center"/>
              <w:spacing w:after="0" w:line="249" w:lineRule="exact"/>
              <w:rPr>
                <w:sz w:val="20"/>
                <w:szCs w:val="20"/>
                <w:color w:val="auto"/>
              </w:rPr>
            </w:pPr>
            <w:r>
              <w:rPr>
                <w:rFonts w:ascii="Calibri" w:cs="Calibri" w:eastAsia="Calibri" w:hAnsi="Calibri"/>
                <w:sz w:val="22"/>
                <w:szCs w:val="22"/>
                <w:color w:val="auto"/>
              </w:rPr>
              <w:t>33 1/3%</w:t>
            </w: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gridSpan w:val="2"/>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620" w:type="dxa"/>
            <w:vAlign w:val="bottom"/>
            <w:tcBorders>
              <w:left w:val="single" w:sz="8" w:color="auto"/>
              <w:right w:val="single" w:sz="8" w:color="auto"/>
            </w:tcBorders>
            <w:gridSpan w:val="4"/>
          </w:tcPr>
          <w:p>
            <w:pPr>
              <w:ind w:left="40"/>
              <w:spacing w:after="0" w:line="251" w:lineRule="exact"/>
              <w:rPr>
                <w:sz w:val="20"/>
                <w:szCs w:val="20"/>
                <w:color w:val="auto"/>
              </w:rPr>
            </w:pPr>
            <w:r>
              <w:rPr>
                <w:rFonts w:ascii="Calibri" w:cs="Calibri" w:eastAsia="Calibri" w:hAnsi="Calibri"/>
                <w:sz w:val="22"/>
                <w:szCs w:val="22"/>
                <w:color w:val="auto"/>
              </w:rPr>
              <w:t>December 31, 2025</w:t>
            </w:r>
          </w:p>
        </w:tc>
        <w:tc>
          <w:tcPr>
            <w:tcW w:w="276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(33 1/3%)</w:t>
            </w:r>
          </w:p>
        </w:tc>
        <w:tc>
          <w:tcPr>
            <w:tcW w:w="116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jc w:val="center"/>
              <w:spacing w:after="0" w:line="251" w:lineRule="exact"/>
              <w:rPr>
                <w:sz w:val="20"/>
                <w:szCs w:val="20"/>
                <w:color w:val="auto"/>
              </w:rPr>
            </w:pPr>
            <w:r>
              <w:rPr>
                <w:rFonts w:ascii="Calibri" w:cs="Calibri" w:eastAsia="Calibri" w:hAnsi="Calibri"/>
                <w:sz w:val="22"/>
                <w:szCs w:val="22"/>
                <w:color w:val="auto"/>
              </w:rPr>
              <w:t>66 2/3%</w:t>
            </w: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4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gridSpan w:val="2"/>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620" w:type="dxa"/>
            <w:vAlign w:val="bottom"/>
            <w:tcBorders>
              <w:left w:val="single" w:sz="8" w:color="auto"/>
              <w:right w:val="single" w:sz="8" w:color="auto"/>
            </w:tcBorders>
            <w:gridSpan w:val="4"/>
          </w:tcPr>
          <w:p>
            <w:pPr>
              <w:ind w:left="40"/>
              <w:spacing w:after="0" w:line="251" w:lineRule="exact"/>
              <w:rPr>
                <w:sz w:val="20"/>
                <w:szCs w:val="20"/>
                <w:color w:val="auto"/>
              </w:rPr>
            </w:pPr>
            <w:r>
              <w:rPr>
                <w:rFonts w:ascii="Calibri" w:cs="Calibri" w:eastAsia="Calibri" w:hAnsi="Calibri"/>
                <w:sz w:val="22"/>
                <w:szCs w:val="22"/>
                <w:color w:val="auto"/>
              </w:rPr>
              <w:t>December 31, 2026</w:t>
            </w:r>
          </w:p>
        </w:tc>
        <w:tc>
          <w:tcPr>
            <w:tcW w:w="276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(33 1/3%)</w:t>
            </w:r>
          </w:p>
        </w:tc>
        <w:tc>
          <w:tcPr>
            <w:tcW w:w="116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jc w:val="center"/>
              <w:spacing w:after="0" w:line="251" w:lineRule="exact"/>
              <w:rPr>
                <w:sz w:val="20"/>
                <w:szCs w:val="20"/>
                <w:color w:val="auto"/>
              </w:rPr>
            </w:pPr>
            <w:r>
              <w:rPr>
                <w:rFonts w:ascii="Calibri" w:cs="Calibri" w:eastAsia="Calibri" w:hAnsi="Calibri"/>
                <w:sz w:val="22"/>
                <w:szCs w:val="22"/>
                <w:color w:val="auto"/>
              </w:rPr>
              <w:t>100%</w:t>
            </w: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4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22"/>
          <w:szCs w:val="22"/>
          <w:color w:val="auto"/>
        </w:rPr>
        <w:t>Initals of Company representatve: _________</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color w:val="auto"/>
        </w:rPr>
        <w:t>Initals of Grantee: _________</w:t>
      </w:r>
    </w:p>
    <w:p>
      <w:pPr>
        <w:sectPr>
          <w:pgSz w:w="11900" w:h="16838" w:orient="portrait"/>
          <w:cols w:equalWidth="0" w:num="1">
            <w:col w:w="11260"/>
          </w:cols>
          <w:pgMar w:left="320" w:top="1396" w:right="319" w:bottom="1440" w:gutter="0" w:footer="0" w:header="0"/>
        </w:sectPr>
      </w:pPr>
    </w:p>
    <w:bookmarkStart w:id="132" w:name="page133"/>
    <w:bookmarkEnd w:id="132"/>
    <w:p>
      <w:pPr>
        <w:jc w:val="center"/>
        <w:spacing w:after="0"/>
        <w:rPr>
          <w:sz w:val="20"/>
          <w:szCs w:val="20"/>
          <w:color w:val="auto"/>
        </w:rPr>
      </w:pPr>
      <w:r>
        <w:rPr>
          <w:rFonts w:ascii="Calibri" w:cs="Calibri" w:eastAsia="Calibri" w:hAnsi="Calibri"/>
          <w:sz w:val="22"/>
          <w:szCs w:val="22"/>
          <w:b w:val="1"/>
          <w:bCs w:val="1"/>
          <w:color w:val="auto"/>
        </w:rPr>
        <w:t>Exhibit 10.5</w:t>
      </w:r>
    </w:p>
    <w:p>
      <w:pPr>
        <w:spacing w:after="0" w:line="190"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b w:val="1"/>
          <w:bCs w:val="1"/>
          <w:color w:val="auto"/>
        </w:rPr>
        <w:t>THE MACERICH COMPANY</w:t>
      </w:r>
    </w:p>
    <w:p>
      <w:pPr>
        <w:jc w:val="center"/>
        <w:ind w:right="40"/>
        <w:spacing w:after="0" w:line="193" w:lineRule="auto"/>
        <w:rPr>
          <w:sz w:val="20"/>
          <w:szCs w:val="20"/>
          <w:color w:val="auto"/>
        </w:rPr>
      </w:pPr>
      <w:r>
        <w:rPr>
          <w:rFonts w:ascii="Calibri" w:cs="Calibri" w:eastAsia="Calibri" w:hAnsi="Calibri"/>
          <w:sz w:val="22"/>
          <w:szCs w:val="22"/>
          <w:b w:val="1"/>
          <w:bCs w:val="1"/>
          <w:color w:val="auto"/>
        </w:rPr>
        <w:t>2024 LTIP INDUCEMENT UNIT AWARD AGREEMENT</w:t>
      </w:r>
    </w:p>
    <w:p>
      <w:pPr>
        <w:jc w:val="center"/>
        <w:spacing w:after="0" w:line="193" w:lineRule="auto"/>
        <w:rPr>
          <w:sz w:val="20"/>
          <w:szCs w:val="20"/>
          <w:color w:val="auto"/>
        </w:rPr>
      </w:pPr>
      <w:r>
        <w:rPr>
          <w:rFonts w:ascii="Calibri" w:cs="Calibri" w:eastAsia="Calibri" w:hAnsi="Calibri"/>
          <w:sz w:val="22"/>
          <w:szCs w:val="22"/>
          <w:b w:val="1"/>
          <w:bCs w:val="1"/>
          <w:color w:val="auto"/>
        </w:rPr>
        <w:t>(Performance-Based)</w:t>
      </w:r>
    </w:p>
    <w:p>
      <w:pPr>
        <w:spacing w:after="0" w:line="188" w:lineRule="exact"/>
        <w:rPr>
          <w:sz w:val="20"/>
          <w:szCs w:val="20"/>
          <w:color w:val="auto"/>
        </w:rPr>
      </w:pPr>
    </w:p>
    <w:p>
      <w:pPr>
        <w:jc w:val="both"/>
        <w:ind w:firstLine="648"/>
        <w:spacing w:after="0" w:line="244" w:lineRule="auto"/>
        <w:rPr>
          <w:sz w:val="20"/>
          <w:szCs w:val="20"/>
          <w:color w:val="auto"/>
        </w:rPr>
      </w:pPr>
      <w:r>
        <w:rPr>
          <w:rFonts w:ascii="Calibri" w:cs="Calibri" w:eastAsia="Calibri" w:hAnsi="Calibri"/>
          <w:sz w:val="21"/>
          <w:szCs w:val="21"/>
          <w:color w:val="auto"/>
        </w:rPr>
        <w:t>This 2024 LTIP INDUCEMENT UNIT AWARD AGREEMENT (Performance-Based) (this “</w:t>
      </w:r>
      <w:r>
        <w:rPr>
          <w:rFonts w:ascii="Calibri" w:cs="Calibri" w:eastAsia="Calibri" w:hAnsi="Calibri"/>
          <w:sz w:val="21"/>
          <w:szCs w:val="21"/>
          <w:u w:val="single" w:color="auto"/>
          <w:color w:val="auto"/>
        </w:rPr>
        <w:t>Agreement</w:t>
      </w:r>
      <w:r>
        <w:rPr>
          <w:rFonts w:ascii="Calibri" w:cs="Calibri" w:eastAsia="Calibri" w:hAnsi="Calibri"/>
          <w:sz w:val="21"/>
          <w:szCs w:val="21"/>
          <w:color w:val="auto"/>
        </w:rPr>
        <w:t>” or “</w:t>
      </w:r>
      <w:r>
        <w:rPr>
          <w:rFonts w:ascii="Calibri" w:cs="Calibri" w:eastAsia="Calibri" w:hAnsi="Calibri"/>
          <w:sz w:val="21"/>
          <w:szCs w:val="21"/>
          <w:u w:val="single" w:color="auto"/>
          <w:color w:val="auto"/>
        </w:rPr>
        <w:t>Award Agreement</w:t>
      </w:r>
      <w:r>
        <w:rPr>
          <w:rFonts w:ascii="Calibri" w:cs="Calibri" w:eastAsia="Calibri" w:hAnsi="Calibri"/>
          <w:sz w:val="21"/>
          <w:szCs w:val="21"/>
          <w:color w:val="auto"/>
        </w:rPr>
        <w:t xml:space="preserve">”) is made as of the date set forth on </w:t>
      </w:r>
      <w:r>
        <w:rPr>
          <w:rFonts w:ascii="Calibri" w:cs="Calibri" w:eastAsia="Calibri" w:hAnsi="Calibri"/>
          <w:sz w:val="21"/>
          <w:szCs w:val="21"/>
          <w:u w:val="single" w:color="auto"/>
          <w:color w:val="auto"/>
        </w:rPr>
        <w:t>Schedule A</w:t>
      </w:r>
      <w:r>
        <w:rPr>
          <w:rFonts w:ascii="Calibri" w:cs="Calibri" w:eastAsia="Calibri" w:hAnsi="Calibri"/>
          <w:sz w:val="21"/>
          <w:szCs w:val="21"/>
          <w:color w:val="auto"/>
        </w:rPr>
        <w:t xml:space="preserve"> hereto between The Macerich Company, a Maryland corporaton (the “</w:t>
      </w:r>
      <w:r>
        <w:rPr>
          <w:rFonts w:ascii="Calibri" w:cs="Calibri" w:eastAsia="Calibri" w:hAnsi="Calibri"/>
          <w:sz w:val="21"/>
          <w:szCs w:val="21"/>
          <w:u w:val="single" w:color="auto"/>
          <w:color w:val="auto"/>
        </w:rPr>
        <w:t>Company</w:t>
      </w:r>
      <w:r>
        <w:rPr>
          <w:rFonts w:ascii="Calibri" w:cs="Calibri" w:eastAsia="Calibri" w:hAnsi="Calibri"/>
          <w:sz w:val="21"/>
          <w:szCs w:val="21"/>
          <w:color w:val="auto"/>
        </w:rPr>
        <w:t>”), its subsidiary The Macerich Partnership, L.P., a Delaware limited partnership and the entty through which the Company conducts substantally all of its operatons (the “</w:t>
      </w:r>
      <w:r>
        <w:rPr>
          <w:rFonts w:ascii="Calibri" w:cs="Calibri" w:eastAsia="Calibri" w:hAnsi="Calibri"/>
          <w:sz w:val="21"/>
          <w:szCs w:val="21"/>
          <w:u w:val="single" w:color="auto"/>
          <w:color w:val="auto"/>
        </w:rPr>
        <w:t>Partnership</w:t>
      </w:r>
      <w:r>
        <w:rPr>
          <w:rFonts w:ascii="Calibri" w:cs="Calibri" w:eastAsia="Calibri" w:hAnsi="Calibri"/>
          <w:sz w:val="21"/>
          <w:szCs w:val="21"/>
          <w:color w:val="auto"/>
        </w:rPr>
        <w:t xml:space="preserve">”), and the party listed on </w:t>
      </w:r>
      <w:r>
        <w:rPr>
          <w:rFonts w:ascii="Calibri" w:cs="Calibri" w:eastAsia="Calibri" w:hAnsi="Calibri"/>
          <w:sz w:val="21"/>
          <w:szCs w:val="21"/>
          <w:u w:val="single" w:color="auto"/>
          <w:color w:val="auto"/>
        </w:rPr>
        <w:t>Schedule A</w:t>
      </w:r>
      <w:r>
        <w:rPr>
          <w:rFonts w:ascii="Calibri" w:cs="Calibri" w:eastAsia="Calibri" w:hAnsi="Calibri"/>
          <w:sz w:val="21"/>
          <w:szCs w:val="21"/>
          <w:color w:val="auto"/>
        </w:rPr>
        <w:t xml:space="preserve"> (the “</w:t>
      </w:r>
      <w:r>
        <w:rPr>
          <w:rFonts w:ascii="Calibri" w:cs="Calibri" w:eastAsia="Calibri" w:hAnsi="Calibri"/>
          <w:sz w:val="21"/>
          <w:szCs w:val="21"/>
          <w:u w:val="single" w:color="auto"/>
          <w:color w:val="auto"/>
        </w:rPr>
        <w:t>Grantee</w:t>
      </w:r>
      <w:r>
        <w:rPr>
          <w:rFonts w:ascii="Calibri" w:cs="Calibri" w:eastAsia="Calibri" w:hAnsi="Calibri"/>
          <w:sz w:val="21"/>
          <w:szCs w:val="21"/>
          <w:color w:val="auto"/>
        </w:rPr>
        <w:t>”).</w:t>
      </w: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22"/>
          <w:szCs w:val="22"/>
          <w:u w:val="single" w:color="auto"/>
          <w:color w:val="auto"/>
        </w:rPr>
        <w:t>RECITALS</w:t>
      </w:r>
    </w:p>
    <w:p>
      <w:pPr>
        <w:spacing w:after="0" w:line="215" w:lineRule="exact"/>
        <w:rPr>
          <w:sz w:val="20"/>
          <w:szCs w:val="20"/>
          <w:color w:val="auto"/>
        </w:rPr>
      </w:pPr>
    </w:p>
    <w:p>
      <w:pPr>
        <w:ind w:left="1300" w:hanging="644"/>
        <w:spacing w:after="0"/>
        <w:tabs>
          <w:tab w:leader="none" w:pos="1300" w:val="left"/>
        </w:tabs>
        <w:numPr>
          <w:ilvl w:val="0"/>
          <w:numId w:val="148"/>
        </w:numPr>
        <w:rPr>
          <w:rFonts w:ascii="Calibri" w:cs="Calibri" w:eastAsia="Calibri" w:hAnsi="Calibri"/>
          <w:sz w:val="21"/>
          <w:szCs w:val="21"/>
          <w:color w:val="010000"/>
        </w:rPr>
      </w:pPr>
      <w:r>
        <w:rPr>
          <w:rFonts w:ascii="Calibri" w:cs="Calibri" w:eastAsia="Calibri" w:hAnsi="Calibri"/>
          <w:sz w:val="21"/>
          <w:szCs w:val="21"/>
          <w:color w:val="auto"/>
        </w:rPr>
        <w:t>The Grantee is a key employee of the Company or one of its Subsidiaries or afliates and provides services to the</w:t>
      </w:r>
    </w:p>
    <w:p>
      <w:pPr>
        <w:spacing w:after="0" w:line="1" w:lineRule="exact"/>
        <w:rPr>
          <w:rFonts w:ascii="Calibri" w:cs="Calibri" w:eastAsia="Calibri" w:hAnsi="Calibri"/>
          <w:sz w:val="21"/>
          <w:szCs w:val="21"/>
          <w:color w:val="010000"/>
        </w:rPr>
      </w:pPr>
    </w:p>
    <w:p>
      <w:pPr>
        <w:spacing w:after="0" w:line="229" w:lineRule="auto"/>
        <w:rPr>
          <w:rFonts w:ascii="Calibri" w:cs="Calibri" w:eastAsia="Calibri" w:hAnsi="Calibri"/>
          <w:sz w:val="21"/>
          <w:szCs w:val="21"/>
          <w:color w:val="010000"/>
        </w:rPr>
      </w:pPr>
      <w:r>
        <w:rPr>
          <w:rFonts w:ascii="Calibri" w:cs="Calibri" w:eastAsia="Calibri" w:hAnsi="Calibri"/>
          <w:sz w:val="22"/>
          <w:szCs w:val="22"/>
          <w:color w:val="auto"/>
        </w:rPr>
        <w:t>Partnership.</w:t>
      </w:r>
    </w:p>
    <w:p>
      <w:pPr>
        <w:spacing w:after="0" w:line="228" w:lineRule="exact"/>
        <w:rPr>
          <w:rFonts w:ascii="Calibri" w:cs="Calibri" w:eastAsia="Calibri" w:hAnsi="Calibri"/>
          <w:sz w:val="21"/>
          <w:szCs w:val="21"/>
          <w:color w:val="010000"/>
        </w:rPr>
      </w:pPr>
    </w:p>
    <w:p>
      <w:pPr>
        <w:jc w:val="both"/>
        <w:ind w:firstLine="656"/>
        <w:spacing w:after="0" w:line="230" w:lineRule="auto"/>
        <w:tabs>
          <w:tab w:leader="none" w:pos="1292" w:val="left"/>
        </w:tabs>
        <w:numPr>
          <w:ilvl w:val="0"/>
          <w:numId w:val="148"/>
        </w:numPr>
        <w:rPr>
          <w:rFonts w:ascii="Calibri" w:cs="Calibri" w:eastAsia="Calibri" w:hAnsi="Calibri"/>
          <w:sz w:val="22"/>
          <w:szCs w:val="22"/>
          <w:color w:val="010000"/>
        </w:rPr>
      </w:pPr>
      <w:r>
        <w:rPr>
          <w:rFonts w:ascii="Calibri" w:cs="Calibri" w:eastAsia="Calibri" w:hAnsi="Calibri"/>
          <w:sz w:val="22"/>
          <w:szCs w:val="22"/>
          <w:color w:val="auto"/>
        </w:rPr>
        <w:t>2024 LTIP Units (PB) (as defned herein) have been awarded by the Board of Directors of the Company (the “</w:t>
      </w:r>
      <w:r>
        <w:rPr>
          <w:rFonts w:ascii="Calibri" w:cs="Calibri" w:eastAsia="Calibri" w:hAnsi="Calibri"/>
          <w:sz w:val="22"/>
          <w:szCs w:val="22"/>
          <w:u w:val="single" w:color="auto"/>
          <w:color w:val="auto"/>
        </w:rPr>
        <w:t>Board</w:t>
      </w:r>
      <w:r>
        <w:rPr>
          <w:rFonts w:ascii="Calibri" w:cs="Calibri" w:eastAsia="Calibri" w:hAnsi="Calibri"/>
          <w:sz w:val="22"/>
          <w:szCs w:val="22"/>
          <w:color w:val="auto"/>
        </w:rPr>
        <w:t>”) pursuant to authority set forth in the Commitee’s charter, including authority to make grants of equity interests in the Partnership. This Agreement evidences an award to the Grantee (this “</w:t>
      </w:r>
      <w:r>
        <w:rPr>
          <w:rFonts w:ascii="Calibri" w:cs="Calibri" w:eastAsia="Calibri" w:hAnsi="Calibri"/>
          <w:sz w:val="22"/>
          <w:szCs w:val="22"/>
          <w:u w:val="single" w:color="auto"/>
          <w:color w:val="auto"/>
        </w:rPr>
        <w:t>Award</w:t>
      </w:r>
      <w:r>
        <w:rPr>
          <w:rFonts w:ascii="Calibri" w:cs="Calibri" w:eastAsia="Calibri" w:hAnsi="Calibri"/>
          <w:sz w:val="22"/>
          <w:szCs w:val="22"/>
          <w:color w:val="auto"/>
        </w:rPr>
        <w:t>”), which is subject to the terms and conditons set forth herein. This Award consttutes a non-plan “inducement award,” as contemplated by New York Stock Exchange Listed Company Manual Rule 303A.08, and is therefore not made pursuant to The Macerich Company 2003 Equity Incentve Plan, or any successor equity plan (as such plan may be amended, modifed or supplemented from tme to tme, collectvely the “</w:t>
      </w:r>
      <w:r>
        <w:rPr>
          <w:rFonts w:ascii="Calibri" w:cs="Calibri" w:eastAsia="Calibri" w:hAnsi="Calibri"/>
          <w:sz w:val="22"/>
          <w:szCs w:val="22"/>
          <w:u w:val="single" w:color="auto"/>
          <w:color w:val="auto"/>
        </w:rPr>
        <w:t>Stock</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Plan</w:t>
      </w:r>
      <w:r>
        <w:rPr>
          <w:rFonts w:ascii="Calibri" w:cs="Calibri" w:eastAsia="Calibri" w:hAnsi="Calibri"/>
          <w:sz w:val="22"/>
          <w:szCs w:val="22"/>
          <w:color w:val="auto"/>
        </w:rPr>
        <w:t>”) or the Company’s Long-Term Incentve Plan (the “</w:t>
      </w:r>
      <w:r>
        <w:rPr>
          <w:rFonts w:ascii="Calibri" w:cs="Calibri" w:eastAsia="Calibri" w:hAnsi="Calibri"/>
          <w:sz w:val="22"/>
          <w:szCs w:val="22"/>
          <w:u w:val="single" w:color="auto"/>
          <w:color w:val="auto"/>
        </w:rPr>
        <w:t>LTIP</w:t>
      </w:r>
      <w:r>
        <w:rPr>
          <w:rFonts w:ascii="Calibri" w:cs="Calibri" w:eastAsia="Calibri" w:hAnsi="Calibri"/>
          <w:sz w:val="22"/>
          <w:szCs w:val="22"/>
          <w:color w:val="auto"/>
        </w:rPr>
        <w:t>”). Nonetheless, the terms and provisions of the 2003 Plan and the LTIP are hereby incorporated into this Agreement by this reference, as though fully set forth herein, as if this Award were granted pursuant to the 2003 Plan and the LTIP. Unless the context herein otherwise requires, the terms defned in the 2003 Plan and the LTIP shall have the same meanings herein.</w:t>
      </w:r>
    </w:p>
    <w:p>
      <w:pPr>
        <w:spacing w:after="0" w:line="220" w:lineRule="exact"/>
        <w:rPr>
          <w:rFonts w:ascii="Calibri" w:cs="Calibri" w:eastAsia="Calibri" w:hAnsi="Calibri"/>
          <w:sz w:val="22"/>
          <w:szCs w:val="22"/>
          <w:color w:val="010000"/>
        </w:rPr>
      </w:pPr>
    </w:p>
    <w:p>
      <w:pPr>
        <w:jc w:val="both"/>
        <w:ind w:firstLine="656"/>
        <w:spacing w:after="0" w:line="231" w:lineRule="auto"/>
        <w:tabs>
          <w:tab w:leader="none" w:pos="1290" w:val="left"/>
        </w:tabs>
        <w:numPr>
          <w:ilvl w:val="0"/>
          <w:numId w:val="148"/>
        </w:numPr>
        <w:rPr>
          <w:rFonts w:ascii="Calibri" w:cs="Calibri" w:eastAsia="Calibri" w:hAnsi="Calibri"/>
          <w:sz w:val="22"/>
          <w:szCs w:val="22"/>
          <w:color w:val="010000"/>
        </w:rPr>
      </w:pPr>
      <w:r>
        <w:rPr>
          <w:rFonts w:ascii="Calibri" w:cs="Calibri" w:eastAsia="Calibri" w:hAnsi="Calibri"/>
          <w:sz w:val="22"/>
          <w:szCs w:val="22"/>
          <w:color w:val="auto"/>
        </w:rPr>
        <w:t xml:space="preserve">The Grantee was selected by the Board to receive this Award as one of a select group of highly compensated or management employees who, through the efectve executon of their assigned dutes and responsibilites, are in a positon to have a direct and measurable impact on the Company’s long-term fnancial results. Efectve as of the grant date specifed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the Board awarded to the Grantee the number of 2024 LTIP Units (PB) (as defned herein) set forth in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w:t>
      </w:r>
    </w:p>
    <w:p>
      <w:pPr>
        <w:spacing w:after="0" w:line="207" w:lineRule="exact"/>
        <w:rPr>
          <w:sz w:val="20"/>
          <w:szCs w:val="20"/>
          <w:color w:val="auto"/>
        </w:rPr>
      </w:pPr>
    </w:p>
    <w:p>
      <w:pPr>
        <w:ind w:left="660"/>
        <w:spacing w:after="0"/>
        <w:rPr>
          <w:sz w:val="20"/>
          <w:szCs w:val="20"/>
          <w:color w:val="auto"/>
        </w:rPr>
      </w:pPr>
      <w:r>
        <w:rPr>
          <w:rFonts w:ascii="Calibri" w:cs="Calibri" w:eastAsia="Calibri" w:hAnsi="Calibri"/>
          <w:sz w:val="22"/>
          <w:szCs w:val="22"/>
          <w:b w:val="1"/>
          <w:bCs w:val="1"/>
          <w:color w:val="auto"/>
        </w:rPr>
        <w:t>NOW, THEREFORE</w:t>
      </w:r>
      <w:r>
        <w:rPr>
          <w:rFonts w:ascii="Calibri" w:cs="Calibri" w:eastAsia="Calibri" w:hAnsi="Calibri"/>
          <w:sz w:val="22"/>
          <w:szCs w:val="22"/>
          <w:color w:val="auto"/>
        </w:rPr>
        <w:t>, the Company, the Partnership and the Grantee agree as follows:</w:t>
      </w:r>
    </w:p>
    <w:p>
      <w:pPr>
        <w:spacing w:after="0" w:line="230" w:lineRule="exact"/>
        <w:rPr>
          <w:sz w:val="20"/>
          <w:szCs w:val="20"/>
          <w:color w:val="auto"/>
        </w:rPr>
      </w:pPr>
    </w:p>
    <w:p>
      <w:pPr>
        <w:jc w:val="both"/>
        <w:ind w:firstLine="656"/>
        <w:spacing w:after="0" w:line="229" w:lineRule="auto"/>
        <w:tabs>
          <w:tab w:leader="none" w:pos="1284" w:val="left"/>
        </w:tabs>
        <w:numPr>
          <w:ilvl w:val="0"/>
          <w:numId w:val="149"/>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Administraton</w:t>
      </w:r>
      <w:r>
        <w:rPr>
          <w:rFonts w:ascii="Calibri" w:cs="Calibri" w:eastAsia="Calibri" w:hAnsi="Calibri"/>
          <w:sz w:val="22"/>
          <w:szCs w:val="22"/>
          <w:color w:val="auto"/>
        </w:rPr>
        <w:t>. The LTIP and this Award shall be administered by the Compensaton Commitee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w:t>
      </w:r>
      <w:r>
        <w:rPr>
          <w:rFonts w:ascii="Calibri" w:cs="Calibri" w:eastAsia="Calibri" w:hAnsi="Calibri"/>
          <w:sz w:val="22"/>
          <w:szCs w:val="22"/>
          <w:u w:val="single" w:color="auto"/>
          <w:color w:val="auto"/>
        </w:rPr>
        <w:t>Commitee</w:t>
      </w:r>
      <w:r>
        <w:rPr>
          <w:rFonts w:ascii="Calibri" w:cs="Calibri" w:eastAsia="Calibri" w:hAnsi="Calibri"/>
          <w:sz w:val="22"/>
          <w:szCs w:val="22"/>
          <w:color w:val="auto"/>
        </w:rPr>
        <w:t>”), which in the administraton of this Award and the LTIP shall have all the powers and authority it has in the administraton of the Stock Plan, as set forth in the Stock Plan. The Commitee may from tme to tme adopt any rules or</w:t>
      </w:r>
    </w:p>
    <w:p>
      <w:pPr>
        <w:sectPr>
          <w:pgSz w:w="11900" w:h="16838" w:orient="portrait"/>
          <w:cols w:equalWidth="0" w:num="1">
            <w:col w:w="11240"/>
          </w:cols>
          <w:pgMar w:left="320" w:top="1396" w:right="339" w:bottom="1440" w:gutter="0" w:footer="0" w:header="0"/>
        </w:sectPr>
      </w:pPr>
    </w:p>
    <w:bookmarkStart w:id="133" w:name="page134"/>
    <w:bookmarkEnd w:id="133"/>
    <w:p>
      <w:pPr>
        <w:spacing w:after="0" w:line="229" w:lineRule="auto"/>
        <w:rPr>
          <w:sz w:val="20"/>
          <w:szCs w:val="20"/>
          <w:color w:val="auto"/>
        </w:rPr>
      </w:pPr>
      <w:r>
        <w:rPr>
          <w:rFonts w:ascii="Calibri" w:cs="Calibri" w:eastAsia="Calibri" w:hAnsi="Calibri"/>
          <w:sz w:val="22"/>
          <w:szCs w:val="22"/>
          <w:color w:val="auto"/>
        </w:rPr>
        <w:t>procedures it deems necessary or desirable for the proper and efcient administraton of this Award and the LTIP, consistent with the terms hereof and of the Stock Plan.</w:t>
      </w:r>
    </w:p>
    <w:p>
      <w:pPr>
        <w:spacing w:after="0" w:line="217" w:lineRule="exact"/>
        <w:rPr>
          <w:sz w:val="20"/>
          <w:szCs w:val="20"/>
          <w:color w:val="auto"/>
        </w:rPr>
      </w:pPr>
    </w:p>
    <w:p>
      <w:pPr>
        <w:ind w:firstLine="656"/>
        <w:spacing w:after="0" w:line="235" w:lineRule="auto"/>
        <w:tabs>
          <w:tab w:leader="none" w:pos="1284" w:val="left"/>
        </w:tabs>
        <w:numPr>
          <w:ilvl w:val="0"/>
          <w:numId w:val="150"/>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Defnitons</w:t>
      </w:r>
      <w:r>
        <w:rPr>
          <w:rFonts w:ascii="Calibri" w:cs="Calibri" w:eastAsia="Calibri" w:hAnsi="Calibri"/>
          <w:sz w:val="22"/>
          <w:szCs w:val="22"/>
          <w:color w:val="auto"/>
        </w:rPr>
        <w:t>. Capitalized terms used herein without defnitons shall have the meanings given to those terms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 Stock Plan. In additon, as used herein:</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2024 LTIP Units (PB)</w:t>
      </w:r>
      <w:r>
        <w:rPr>
          <w:rFonts w:ascii="Calibri" w:cs="Calibri" w:eastAsia="Calibri" w:hAnsi="Calibri"/>
          <w:sz w:val="22"/>
          <w:szCs w:val="22"/>
          <w:color w:val="auto"/>
        </w:rPr>
        <w:t xml:space="preserve">” has the meaning set forth in </w:t>
      </w:r>
      <w:r>
        <w:rPr>
          <w:rFonts w:ascii="Calibri" w:cs="Calibri" w:eastAsia="Calibri" w:hAnsi="Calibri"/>
          <w:sz w:val="22"/>
          <w:szCs w:val="22"/>
          <w:u w:val="single" w:color="auto"/>
          <w:color w:val="auto"/>
        </w:rPr>
        <w:t>Secton 3(a)</w:t>
      </w:r>
      <w:r>
        <w:rPr>
          <w:rFonts w:ascii="Calibri" w:cs="Calibri" w:eastAsia="Calibri" w:hAnsi="Calibri"/>
          <w:sz w:val="22"/>
          <w:szCs w:val="22"/>
          <w:color w:val="auto"/>
        </w:rPr>
        <w:t>.</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2024-2 LTIP Units (PB)</w:t>
      </w:r>
      <w:r>
        <w:rPr>
          <w:rFonts w:ascii="Calibri" w:cs="Calibri" w:eastAsia="Calibri" w:hAnsi="Calibri"/>
          <w:sz w:val="22"/>
          <w:szCs w:val="22"/>
          <w:color w:val="auto"/>
        </w:rPr>
        <w:t xml:space="preserve">” has the meaning set forth in </w:t>
      </w:r>
      <w:r>
        <w:rPr>
          <w:rFonts w:ascii="Calibri" w:cs="Calibri" w:eastAsia="Calibri" w:hAnsi="Calibri"/>
          <w:sz w:val="22"/>
          <w:szCs w:val="22"/>
          <w:u w:val="single" w:color="auto"/>
          <w:color w:val="auto"/>
        </w:rPr>
        <w:t>Secton 3(b)</w:t>
      </w:r>
      <w:r>
        <w:rPr>
          <w:rFonts w:ascii="Calibri" w:cs="Calibri" w:eastAsia="Calibri" w:hAnsi="Calibri"/>
          <w:sz w:val="22"/>
          <w:szCs w:val="22"/>
          <w:color w:val="auto"/>
        </w:rPr>
        <w:t>.</w:t>
      </w:r>
    </w:p>
    <w:p>
      <w:pPr>
        <w:spacing w:after="0" w:line="217" w:lineRule="exact"/>
        <w:rPr>
          <w:sz w:val="20"/>
          <w:szCs w:val="20"/>
          <w:color w:val="auto"/>
        </w:rPr>
      </w:pPr>
    </w:p>
    <w:p>
      <w:pPr>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2024 Performance Period</w:t>
      </w:r>
      <w:r>
        <w:rPr>
          <w:rFonts w:ascii="Calibri" w:cs="Calibri" w:eastAsia="Calibri" w:hAnsi="Calibri"/>
          <w:sz w:val="22"/>
          <w:szCs w:val="22"/>
          <w:color w:val="auto"/>
        </w:rPr>
        <w:t>” means, the period commencing on (and including) January 1, 2024 and concluding on the earliest of (a) December 31, 2024 or (b) the date of a Change of Control.</w:t>
      </w:r>
    </w:p>
    <w:p>
      <w:pPr>
        <w:spacing w:after="0" w:line="230" w:lineRule="exact"/>
        <w:rPr>
          <w:sz w:val="20"/>
          <w:szCs w:val="20"/>
          <w:color w:val="auto"/>
        </w:rPr>
      </w:pPr>
    </w:p>
    <w:p>
      <w:pPr>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2025 Performance Period</w:t>
      </w:r>
      <w:r>
        <w:rPr>
          <w:rFonts w:ascii="Calibri" w:cs="Calibri" w:eastAsia="Calibri" w:hAnsi="Calibri"/>
          <w:sz w:val="22"/>
          <w:szCs w:val="22"/>
          <w:color w:val="auto"/>
        </w:rPr>
        <w:t>” means, the period commencing on (and including) January 1, 2025 and concluding on the earliest of (a) December 31, 2025 or (b) the date of a Change of Control.</w:t>
      </w:r>
    </w:p>
    <w:p>
      <w:pPr>
        <w:spacing w:after="0" w:line="217" w:lineRule="exact"/>
        <w:rPr>
          <w:sz w:val="20"/>
          <w:szCs w:val="20"/>
          <w:color w:val="auto"/>
        </w:rPr>
      </w:pPr>
    </w:p>
    <w:p>
      <w:pPr>
        <w:ind w:firstLine="648"/>
        <w:spacing w:after="0" w:line="229" w:lineRule="auto"/>
        <w:rPr>
          <w:sz w:val="20"/>
          <w:szCs w:val="20"/>
          <w:color w:val="auto"/>
        </w:rPr>
      </w:pPr>
      <w:r>
        <w:rPr>
          <w:rFonts w:ascii="Calibri" w:cs="Calibri" w:eastAsia="Calibri" w:hAnsi="Calibri"/>
          <w:sz w:val="22"/>
          <w:szCs w:val="22"/>
          <w:u w:val="single" w:color="auto"/>
          <w:color w:val="auto"/>
        </w:rPr>
        <w:t>2026 Performance Period</w:t>
      </w:r>
      <w:r>
        <w:rPr>
          <w:rFonts w:ascii="Calibri" w:cs="Calibri" w:eastAsia="Calibri" w:hAnsi="Calibri"/>
          <w:sz w:val="22"/>
          <w:szCs w:val="22"/>
          <w:color w:val="auto"/>
        </w:rPr>
        <w:t>” means, the period commencing on (and including) January 1, 2026 and concluding on the earliest of (a) December 31, 2026 or (b) the date of a Change of Control.</w:t>
      </w:r>
    </w:p>
    <w:p>
      <w:pPr>
        <w:spacing w:after="0" w:line="217" w:lineRule="exact"/>
        <w:rPr>
          <w:sz w:val="20"/>
          <w:szCs w:val="20"/>
          <w:color w:val="auto"/>
        </w:rPr>
      </w:pPr>
    </w:p>
    <w:p>
      <w:pPr>
        <w:ind w:firstLine="567"/>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Cause</w:t>
      </w:r>
      <w:r>
        <w:rPr>
          <w:rFonts w:ascii="Calibri" w:cs="Calibri" w:eastAsia="Calibri" w:hAnsi="Calibri"/>
          <w:sz w:val="22"/>
          <w:szCs w:val="22"/>
          <w:color w:val="auto"/>
        </w:rPr>
        <w:t>” means “Cause” as defned in the Severance Arrangement, as modifed pursuant to the terms and conditons of Grantee’s Service Agreement.</w:t>
      </w:r>
    </w:p>
    <w:p>
      <w:pPr>
        <w:spacing w:after="0" w:line="217"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Change of Control</w:t>
      </w:r>
      <w:r>
        <w:rPr>
          <w:rFonts w:ascii="Calibri" w:cs="Calibri" w:eastAsia="Calibri" w:hAnsi="Calibri"/>
          <w:sz w:val="22"/>
          <w:szCs w:val="22"/>
          <w:color w:val="auto"/>
        </w:rPr>
        <w:t>” means any of the following:</w:t>
      </w:r>
    </w:p>
    <w:p>
      <w:pPr>
        <w:spacing w:after="0" w:line="216" w:lineRule="exact"/>
        <w:rPr>
          <w:sz w:val="20"/>
          <w:szCs w:val="20"/>
          <w:color w:val="auto"/>
        </w:rPr>
      </w:pPr>
    </w:p>
    <w:p>
      <w:pPr>
        <w:jc w:val="both"/>
        <w:ind w:firstLine="1304"/>
        <w:spacing w:after="0" w:line="230" w:lineRule="auto"/>
        <w:tabs>
          <w:tab w:leader="none" w:pos="1935" w:val="left"/>
        </w:tabs>
        <w:numPr>
          <w:ilvl w:val="0"/>
          <w:numId w:val="151"/>
        </w:numPr>
        <w:rPr>
          <w:rFonts w:ascii="Calibri" w:cs="Calibri" w:eastAsia="Calibri" w:hAnsi="Calibri"/>
          <w:sz w:val="22"/>
          <w:szCs w:val="22"/>
          <w:color w:val="010000"/>
        </w:rPr>
      </w:pPr>
      <w:r>
        <w:rPr>
          <w:rFonts w:ascii="Calibri" w:cs="Calibri" w:eastAsia="Calibri" w:hAnsi="Calibri"/>
          <w:sz w:val="22"/>
          <w:szCs w:val="22"/>
          <w:color w:val="auto"/>
        </w:rPr>
        <w:t>The acquisiton by any Person of benefcial ownership (within the meaning of Rule 13d-3 promulgated under the Exchange Act) of 33% or more of either (A) the then-outstanding shares of common stock of the Company (the “</w:t>
      </w:r>
      <w:r>
        <w:rPr>
          <w:rFonts w:ascii="Calibri" w:cs="Calibri" w:eastAsia="Calibri" w:hAnsi="Calibri"/>
          <w:sz w:val="22"/>
          <w:szCs w:val="22"/>
          <w:u w:val="single" w:color="auto"/>
          <w:color w:val="auto"/>
        </w:rPr>
        <w:t>Outstanding Company Common Stock</w:t>
      </w:r>
      <w:r>
        <w:rPr>
          <w:rFonts w:ascii="Calibri" w:cs="Calibri" w:eastAsia="Calibri" w:hAnsi="Calibri"/>
          <w:sz w:val="22"/>
          <w:szCs w:val="22"/>
          <w:color w:val="auto"/>
        </w:rPr>
        <w:t>”) or (B) the combined votng power of the then-outstanding votng securites of the Company enttled to vote generally in the electon of directors (the “</w:t>
      </w:r>
      <w:r>
        <w:rPr>
          <w:rFonts w:ascii="Calibri" w:cs="Calibri" w:eastAsia="Calibri" w:hAnsi="Calibri"/>
          <w:sz w:val="22"/>
          <w:szCs w:val="22"/>
          <w:u w:val="single" w:color="auto"/>
          <w:color w:val="auto"/>
        </w:rPr>
        <w:t>Outstanding Company Votng Securites</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however</w:t>
      </w:r>
      <w:r>
        <w:rPr>
          <w:rFonts w:ascii="Calibri" w:cs="Calibri" w:eastAsia="Calibri" w:hAnsi="Calibri"/>
          <w:sz w:val="22"/>
          <w:szCs w:val="22"/>
          <w:color w:val="auto"/>
        </w:rPr>
        <w:t>, that, for purposes of this defniton, the following acquisitons shall not consttute a Change of Control: (i) any acquisiton directly from the Company, (ii) any acquisiton by the Company, (iii) any acquisiton by any employee beneft plan (or related trust) sponsored or maintained by the Company or any afliate of the Company or successor or (iv) any acquisiton by any entty pursuant to a transacton that complies with (c)(i), (c)(ii) and (c)(iii) below;</w:t>
      </w:r>
    </w:p>
    <w:p>
      <w:pPr>
        <w:spacing w:after="0" w:line="222" w:lineRule="exact"/>
        <w:rPr>
          <w:rFonts w:ascii="Calibri" w:cs="Calibri" w:eastAsia="Calibri" w:hAnsi="Calibri"/>
          <w:sz w:val="22"/>
          <w:szCs w:val="22"/>
          <w:color w:val="010000"/>
        </w:rPr>
      </w:pPr>
    </w:p>
    <w:p>
      <w:pPr>
        <w:jc w:val="both"/>
        <w:ind w:firstLine="1304"/>
        <w:spacing w:after="0" w:line="231" w:lineRule="auto"/>
        <w:tabs>
          <w:tab w:leader="none" w:pos="1932" w:val="left"/>
        </w:tabs>
        <w:numPr>
          <w:ilvl w:val="0"/>
          <w:numId w:val="151"/>
        </w:numPr>
        <w:rPr>
          <w:rFonts w:ascii="Calibri" w:cs="Calibri" w:eastAsia="Calibri" w:hAnsi="Calibri"/>
          <w:sz w:val="22"/>
          <w:szCs w:val="22"/>
          <w:color w:val="010000"/>
        </w:rPr>
      </w:pPr>
      <w:r>
        <w:rPr>
          <w:rFonts w:ascii="Calibri" w:cs="Calibri" w:eastAsia="Calibri" w:hAnsi="Calibri"/>
          <w:sz w:val="22"/>
          <w:szCs w:val="22"/>
          <w:color w:val="auto"/>
        </w:rPr>
        <w:t>Individuals who, as of the date hereof, consttute the Board (the “</w:t>
      </w:r>
      <w:r>
        <w:rPr>
          <w:rFonts w:ascii="Calibri" w:cs="Calibri" w:eastAsia="Calibri" w:hAnsi="Calibri"/>
          <w:sz w:val="22"/>
          <w:szCs w:val="22"/>
          <w:u w:val="single" w:color="auto"/>
          <w:color w:val="auto"/>
        </w:rPr>
        <w:t>Incumbent Board</w:t>
      </w:r>
      <w:r>
        <w:rPr>
          <w:rFonts w:ascii="Calibri" w:cs="Calibri" w:eastAsia="Calibri" w:hAnsi="Calibri"/>
          <w:sz w:val="22"/>
          <w:szCs w:val="22"/>
          <w:color w:val="auto"/>
        </w:rPr>
        <w:t xml:space="preserve">”) cease for any reason to consttute at least a majority of the Board;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however</w:t>
      </w:r>
      <w:r>
        <w:rPr>
          <w:rFonts w:ascii="Calibri" w:cs="Calibri" w:eastAsia="Calibri" w:hAnsi="Calibri"/>
          <w:sz w:val="22"/>
          <w:szCs w:val="22"/>
          <w:color w:val="auto"/>
        </w:rPr>
        <w:t>, that any individual becoming a director subsequent to the date hereof whose electon, or nominaton for electon by the Company’s stockholders, was approved by a vote of at least two-thirds of the directors then comprising the Incumbent Board (including for these purposes, the new members whose electon or nominaton was so approved, without countng the member and his predecessor twice) shall be considered as though such individual</w:t>
      </w:r>
    </w:p>
    <w:p>
      <w:pPr>
        <w:sectPr>
          <w:pgSz w:w="11900" w:h="16838" w:orient="portrait"/>
          <w:cols w:equalWidth="0" w:num="1">
            <w:col w:w="11240"/>
          </w:cols>
          <w:pgMar w:left="320" w:top="1407" w:right="339" w:bottom="1440" w:gutter="0" w:footer="0" w:header="0"/>
        </w:sectPr>
      </w:pPr>
    </w:p>
    <w:bookmarkStart w:id="134" w:name="page135"/>
    <w:bookmarkEnd w:id="134"/>
    <w:p>
      <w:pPr>
        <w:jc w:val="both"/>
        <w:spacing w:after="0" w:line="229" w:lineRule="auto"/>
        <w:rPr>
          <w:sz w:val="20"/>
          <w:szCs w:val="20"/>
          <w:color w:val="auto"/>
        </w:rPr>
      </w:pPr>
      <w:r>
        <w:rPr>
          <w:rFonts w:ascii="Calibri" w:cs="Calibri" w:eastAsia="Calibri" w:hAnsi="Calibri"/>
          <w:sz w:val="22"/>
          <w:szCs w:val="22"/>
          <w:color w:val="auto"/>
        </w:rPr>
        <w:t>were a member of the Incumbent Board, but excluding, for this purpose, any such individual whose inital assumpton of ofce occurs as a result of an actual or threatened electon contest with respect to the electon or removal of directors or other actual or threatened solicitaton of proxies or consents by or on behalf of a Person other than the Board;</w:t>
      </w:r>
    </w:p>
    <w:p>
      <w:pPr>
        <w:spacing w:after="0" w:line="230" w:lineRule="exact"/>
        <w:rPr>
          <w:sz w:val="20"/>
          <w:szCs w:val="20"/>
          <w:color w:val="auto"/>
        </w:rPr>
      </w:pPr>
    </w:p>
    <w:p>
      <w:pPr>
        <w:jc w:val="both"/>
        <w:ind w:firstLine="1304"/>
        <w:spacing w:after="0" w:line="231" w:lineRule="auto"/>
        <w:tabs>
          <w:tab w:leader="none" w:pos="1937" w:val="left"/>
        </w:tabs>
        <w:numPr>
          <w:ilvl w:val="0"/>
          <w:numId w:val="152"/>
        </w:numPr>
        <w:rPr>
          <w:rFonts w:ascii="Calibri" w:cs="Calibri" w:eastAsia="Calibri" w:hAnsi="Calibri"/>
          <w:sz w:val="22"/>
          <w:szCs w:val="22"/>
          <w:color w:val="010000"/>
        </w:rPr>
      </w:pPr>
      <w:r>
        <w:rPr>
          <w:rFonts w:ascii="Calibri" w:cs="Calibri" w:eastAsia="Calibri" w:hAnsi="Calibri"/>
          <w:sz w:val="22"/>
          <w:szCs w:val="22"/>
          <w:color w:val="auto"/>
        </w:rPr>
        <w:t>Consummaton of a reorganizaton, merger, statutory share exchange or consolidaton or similar corporate transacton involving the Company or any of its subsidiaries, a sale or other dispositon of all or substantally all of the assets of the Company, or the acquisiton of assets or stock of another entty by the Company or any of its subsidiaries (each, a “</w:t>
      </w:r>
      <w:r>
        <w:rPr>
          <w:rFonts w:ascii="Calibri" w:cs="Calibri" w:eastAsia="Calibri" w:hAnsi="Calibri"/>
          <w:sz w:val="22"/>
          <w:szCs w:val="22"/>
          <w:u w:val="single" w:color="auto"/>
          <w:color w:val="auto"/>
        </w:rPr>
        <w:t>Business</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Combinaton</w:t>
      </w:r>
      <w:r>
        <w:rPr>
          <w:rFonts w:ascii="Calibri" w:cs="Calibri" w:eastAsia="Calibri" w:hAnsi="Calibri"/>
          <w:sz w:val="22"/>
          <w:szCs w:val="22"/>
          <w:color w:val="auto"/>
        </w:rPr>
        <w:t>”), in each case unless, following such Business Combinaton, (i) all or substantally all of the individuals and enttes that were the benefcial owners of the Outstanding Company Common Stock and the Outstanding Company Votng Securites immediately prior to such Business Combinaton benefcially own, directly or indirectly, more than 60% of the then-outstanding shares of common stock and the combined votng power of the then-outstanding votng securites enttled to vote generally in the electon of directors, as the case may be, of the entty resultng from such Business Combinaton (including, without limitaton, an entty that, as a result of such transacton, owns the Company or all or substantally all of the Company’s assets directly or through one or more subsidiaries (“</w:t>
      </w:r>
      <w:r>
        <w:rPr>
          <w:rFonts w:ascii="Calibri" w:cs="Calibri" w:eastAsia="Calibri" w:hAnsi="Calibri"/>
          <w:sz w:val="22"/>
          <w:szCs w:val="22"/>
          <w:u w:val="single" w:color="auto"/>
          <w:color w:val="auto"/>
        </w:rPr>
        <w:t>Parent</w:t>
      </w:r>
      <w:r>
        <w:rPr>
          <w:rFonts w:ascii="Calibri" w:cs="Calibri" w:eastAsia="Calibri" w:hAnsi="Calibri"/>
          <w:sz w:val="22"/>
          <w:szCs w:val="22"/>
          <w:color w:val="auto"/>
        </w:rPr>
        <w:t>”)) in substantally the same proportons as their ownership immediately prior to such Business Combinaton of the Outstanding Company Common Stock and the Outstanding Company Votng Securites, as the case may be, (ii) no Person (excluding any entty resultng from such Business Combinaton or a Parent or any employee beneft plan (or related trust) of the Company or such entty resultng from such Business Combinaton or Parent) benefcially owns, directly or indirectly, 20% or more of, respectvely, the then-outstanding shares of common stock of the entty resultng from such Business Combinaton or the combined votng power of the then-outstanding votng securites of such entty, except to the extent that the ownership in excess of 20% existed prior to the Business Combinaton, and (iii) at least a majority of the members of the board of directors or trustees of the entty resultng from such Business Combinaton were members of the Incumbent Board at the tme of the executon of the inital agreement or of the acton of the Board providing for such Business Combinaton; or</w:t>
      </w:r>
    </w:p>
    <w:p>
      <w:pPr>
        <w:spacing w:after="0" w:line="206" w:lineRule="exact"/>
        <w:rPr>
          <w:rFonts w:ascii="Calibri" w:cs="Calibri" w:eastAsia="Calibri" w:hAnsi="Calibri"/>
          <w:sz w:val="22"/>
          <w:szCs w:val="22"/>
          <w:color w:val="010000"/>
        </w:rPr>
      </w:pPr>
    </w:p>
    <w:p>
      <w:pPr>
        <w:ind w:left="1940" w:hanging="636"/>
        <w:spacing w:after="0"/>
        <w:tabs>
          <w:tab w:leader="none" w:pos="1940" w:val="left"/>
        </w:tabs>
        <w:numPr>
          <w:ilvl w:val="0"/>
          <w:numId w:val="152"/>
        </w:numPr>
        <w:rPr>
          <w:rFonts w:ascii="Calibri" w:cs="Calibri" w:eastAsia="Calibri" w:hAnsi="Calibri"/>
          <w:sz w:val="22"/>
          <w:szCs w:val="22"/>
          <w:color w:val="010000"/>
        </w:rPr>
      </w:pPr>
      <w:r>
        <w:rPr>
          <w:rFonts w:ascii="Calibri" w:cs="Calibri" w:eastAsia="Calibri" w:hAnsi="Calibri"/>
          <w:sz w:val="22"/>
          <w:szCs w:val="22"/>
          <w:color w:val="auto"/>
        </w:rPr>
        <w:t>Approval by the stockholders of the Company of a complete liquidaton or dissoluton of the Company.</w:t>
      </w:r>
    </w:p>
    <w:p>
      <w:pPr>
        <w:spacing w:after="0" w:line="206"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Code</w:t>
      </w:r>
      <w:r>
        <w:rPr>
          <w:rFonts w:ascii="Calibri" w:cs="Calibri" w:eastAsia="Calibri" w:hAnsi="Calibri"/>
          <w:sz w:val="22"/>
          <w:szCs w:val="22"/>
          <w:color w:val="auto"/>
        </w:rPr>
        <w:t>” means the Internal Revenue Code of 1986, as amended.</w:t>
      </w:r>
    </w:p>
    <w:p>
      <w:pPr>
        <w:spacing w:after="0" w:line="228"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Common Stock</w:t>
      </w:r>
      <w:r>
        <w:rPr>
          <w:rFonts w:ascii="Calibri" w:cs="Calibri" w:eastAsia="Calibri" w:hAnsi="Calibri"/>
          <w:sz w:val="22"/>
          <w:szCs w:val="22"/>
          <w:color w:val="auto"/>
        </w:rPr>
        <w:t>” means shares of the Company’s common stock, par value $0.01 per share, either currently existng or authorized hereafer.</w:t>
      </w:r>
    </w:p>
    <w:p>
      <w:pPr>
        <w:spacing w:after="0" w:line="217"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Compettve Actvites</w:t>
      </w:r>
      <w:r>
        <w:rPr>
          <w:rFonts w:ascii="Calibri" w:cs="Calibri" w:eastAsia="Calibri" w:hAnsi="Calibri"/>
          <w:sz w:val="22"/>
          <w:szCs w:val="22"/>
          <w:color w:val="auto"/>
        </w:rPr>
        <w:t>” means that the Grantee, directly or indirectly, whether as owner, partner, shareholder, consultant, agent, employee, co-venturer or otherwise, engages, partcipates, assists or invests in any Competng Business (as hereinafer defned). The term “</w:t>
      </w:r>
      <w:r>
        <w:rPr>
          <w:rFonts w:ascii="Calibri" w:cs="Calibri" w:eastAsia="Calibri" w:hAnsi="Calibri"/>
          <w:sz w:val="22"/>
          <w:szCs w:val="22"/>
          <w:u w:val="single" w:color="auto"/>
          <w:color w:val="auto"/>
        </w:rPr>
        <w:t>Competng Business</w:t>
      </w:r>
      <w:r>
        <w:rPr>
          <w:rFonts w:ascii="Calibri" w:cs="Calibri" w:eastAsia="Calibri" w:hAnsi="Calibri"/>
          <w:sz w:val="22"/>
          <w:szCs w:val="22"/>
          <w:color w:val="auto"/>
        </w:rPr>
        <w:t>” shall mean a publicly traded real estate investment trust that is identfed by the Natonal Associaton of Real Estate Investment Trusts (“</w:t>
      </w:r>
      <w:r>
        <w:rPr>
          <w:rFonts w:ascii="Calibri" w:cs="Calibri" w:eastAsia="Calibri" w:hAnsi="Calibri"/>
          <w:sz w:val="22"/>
          <w:szCs w:val="22"/>
          <w:u w:val="single" w:color="auto"/>
          <w:color w:val="auto"/>
        </w:rPr>
        <w:t>Nareit</w:t>
      </w:r>
      <w:r>
        <w:rPr>
          <w:rFonts w:ascii="Calibri" w:cs="Calibri" w:eastAsia="Calibri" w:hAnsi="Calibri"/>
          <w:sz w:val="22"/>
          <w:szCs w:val="22"/>
          <w:color w:val="auto"/>
        </w:rPr>
        <w:t>”) as a “mall REIT” or “shopping center REIT” (other than the Company or a surviving or resultng entty upon a Change of Control, or any of their respectve afliates). Notwithstanding the foregoing, the</w:t>
      </w:r>
    </w:p>
    <w:p>
      <w:pPr>
        <w:sectPr>
          <w:pgSz w:w="11900" w:h="16838" w:orient="portrait"/>
          <w:cols w:equalWidth="0" w:num="1">
            <w:col w:w="11240"/>
          </w:cols>
          <w:pgMar w:left="320" w:top="1407" w:right="339" w:bottom="1440" w:gutter="0" w:footer="0" w:header="0"/>
        </w:sectPr>
      </w:pPr>
    </w:p>
    <w:bookmarkStart w:id="135" w:name="page136"/>
    <w:bookmarkEnd w:id="135"/>
    <w:p>
      <w:pPr>
        <w:jc w:val="both"/>
        <w:spacing w:after="0" w:line="229" w:lineRule="auto"/>
        <w:rPr>
          <w:sz w:val="20"/>
          <w:szCs w:val="20"/>
          <w:color w:val="auto"/>
        </w:rPr>
      </w:pPr>
      <w:r>
        <w:rPr>
          <w:rFonts w:ascii="Calibri" w:cs="Calibri" w:eastAsia="Calibri" w:hAnsi="Calibri"/>
          <w:sz w:val="22"/>
          <w:szCs w:val="22"/>
          <w:color w:val="auto"/>
        </w:rPr>
        <w:t>Grantee may own equity securites of an entty which consttutes, or is afliated with, a Competng Business, so long at their value does not exceed two percent (2%) of the aggregate equity market capitalizaton of the Competng Business.</w:t>
      </w:r>
    </w:p>
    <w:p>
      <w:pPr>
        <w:spacing w:after="0" w:line="217" w:lineRule="exact"/>
        <w:rPr>
          <w:sz w:val="20"/>
          <w:szCs w:val="20"/>
          <w:color w:val="auto"/>
        </w:rPr>
      </w:pPr>
    </w:p>
    <w:p>
      <w:pPr>
        <w:jc w:val="both"/>
        <w:ind w:firstLine="648"/>
        <w:spacing w:after="0" w:line="232"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Contnuous Service</w:t>
      </w:r>
      <w:r>
        <w:rPr>
          <w:rFonts w:ascii="Calibri" w:cs="Calibri" w:eastAsia="Calibri" w:hAnsi="Calibri"/>
          <w:sz w:val="22"/>
          <w:szCs w:val="22"/>
          <w:color w:val="auto"/>
        </w:rPr>
        <w:t>” means the contnuous service to the Company or any Subsidiary or afliate, without interrupton or terminaton. Contnuous Service shall not be considered interrupted in the case of (A) any approved leave of absence, (B) transfers among the Company and any Subsidiary or afliate, or any successor, in any capacity of employee, or with the writen consent of the Commitee, consultant, or (C) any change in status as long as the individual remains in the service of the Company and any Subsidiary or afliate in any capacity of employee, member of the Board or (if the Company specifcally agrees in writng that the Contnuous Service is not uninterrupted) a consultant. An approved leave of absence shall include sick leave, military leave, or any other authorized personal leave.</w:t>
      </w:r>
    </w:p>
    <w:p>
      <w:pPr>
        <w:spacing w:after="0" w:line="221"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Cumulatve Performance Period</w:t>
      </w:r>
      <w:r>
        <w:rPr>
          <w:rFonts w:ascii="Calibri" w:cs="Calibri" w:eastAsia="Calibri" w:hAnsi="Calibri"/>
          <w:sz w:val="22"/>
          <w:szCs w:val="22"/>
          <w:color w:val="auto"/>
        </w:rPr>
        <w:t>” means, the period commencing on (and including) January 1, 2024 and concluding on (and including) the earliest of (a) December 31, 2026 or (b) the date of a Change of Control.</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Current Distributons</w:t>
      </w:r>
      <w:r>
        <w:rPr>
          <w:rFonts w:ascii="Calibri" w:cs="Calibri" w:eastAsia="Calibri" w:hAnsi="Calibri"/>
          <w:sz w:val="22"/>
          <w:szCs w:val="22"/>
          <w:color w:val="auto"/>
        </w:rPr>
        <w:t xml:space="preserve">” has the meaning set forth in </w:t>
      </w:r>
      <w:r>
        <w:rPr>
          <w:rFonts w:ascii="Calibri" w:cs="Calibri" w:eastAsia="Calibri" w:hAnsi="Calibri"/>
          <w:sz w:val="22"/>
          <w:szCs w:val="22"/>
          <w:u w:val="single" w:color="auto"/>
          <w:color w:val="auto"/>
        </w:rPr>
        <w:t>Secton 7(b)</w:t>
      </w:r>
      <w:r>
        <w:rPr>
          <w:rFonts w:ascii="Calibri" w:cs="Calibri" w:eastAsia="Calibri" w:hAnsi="Calibri"/>
          <w:sz w:val="22"/>
          <w:szCs w:val="22"/>
          <w:color w:val="auto"/>
        </w:rPr>
        <w:t>.</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Contngent Distributons</w:t>
      </w:r>
      <w:r>
        <w:rPr>
          <w:rFonts w:ascii="Calibri" w:cs="Calibri" w:eastAsia="Calibri" w:hAnsi="Calibri"/>
          <w:sz w:val="22"/>
          <w:szCs w:val="22"/>
          <w:color w:val="auto"/>
        </w:rPr>
        <w:t xml:space="preserve">” has the meaning set forth in </w:t>
      </w:r>
      <w:r>
        <w:rPr>
          <w:rFonts w:ascii="Calibri" w:cs="Calibri" w:eastAsia="Calibri" w:hAnsi="Calibri"/>
          <w:sz w:val="22"/>
          <w:szCs w:val="22"/>
          <w:u w:val="single" w:color="auto"/>
          <w:color w:val="auto"/>
        </w:rPr>
        <w:t>Secton 7(c)</w:t>
      </w:r>
      <w:r>
        <w:rPr>
          <w:rFonts w:ascii="Calibri" w:cs="Calibri" w:eastAsia="Calibri" w:hAnsi="Calibri"/>
          <w:sz w:val="22"/>
          <w:szCs w:val="22"/>
          <w:color w:val="auto"/>
        </w:rPr>
        <w:t>.</w:t>
      </w:r>
    </w:p>
    <w:p>
      <w:pPr>
        <w:spacing w:after="0" w:line="217"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Disability</w:t>
      </w:r>
      <w:r>
        <w:rPr>
          <w:rFonts w:ascii="Calibri" w:cs="Calibri" w:eastAsia="Calibri" w:hAnsi="Calibri"/>
          <w:sz w:val="22"/>
          <w:szCs w:val="22"/>
          <w:color w:val="auto"/>
        </w:rPr>
        <w:t>” means a “disability”, as determined under the Company’s long-term disability plan in efect on the date of terminaton, enttling the Grantee to benefts under such long-term disability plan.</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Efectve Date</w:t>
      </w:r>
      <w:r>
        <w:rPr>
          <w:rFonts w:ascii="Calibri" w:cs="Calibri" w:eastAsia="Calibri" w:hAnsi="Calibri"/>
          <w:sz w:val="22"/>
          <w:szCs w:val="22"/>
          <w:color w:val="auto"/>
        </w:rPr>
        <w:t>” means January 1, 2024.</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Exchange Act</w:t>
      </w:r>
      <w:r>
        <w:rPr>
          <w:rFonts w:ascii="Calibri" w:cs="Calibri" w:eastAsia="Calibri" w:hAnsi="Calibri"/>
          <w:sz w:val="22"/>
          <w:szCs w:val="22"/>
          <w:color w:val="auto"/>
        </w:rPr>
        <w:t>” means the Securites Exchange Act of 1934, as amended.</w:t>
      </w:r>
    </w:p>
    <w:p>
      <w:pPr>
        <w:spacing w:after="0" w:line="216"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Fair Market Value</w:t>
      </w:r>
      <w:r>
        <w:rPr>
          <w:rFonts w:ascii="Calibri" w:cs="Calibri" w:eastAsia="Calibri" w:hAnsi="Calibri"/>
          <w:sz w:val="22"/>
          <w:szCs w:val="22"/>
          <w:color w:val="auto"/>
        </w:rPr>
        <w:t xml:space="preserve">” means, as of any given date, the fair market value of a security determined by the Commitee using any reasonable method and in good faith (such determinaton will be made in a manner that satsfes Secton 409A of the Code and in good-faith as required by Secton 422(c)(1) of the Code);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(A) if the security is then listed on a natonal stock exchange, the fair market value of such security on any date shall be the closing sales price per Share on the principal natonal stock exchange on which the security is listed on such date (or, if such date is not a trading date on which there was a sale of such security on such exchange, the last preceding date on which there was a sale of such security on such exchange), (B) if the security is not then listed on a natonal stock exchange but is then traded on an over-the-counter market, the fair market value of such security on any date shall be the average of the closing bid and asked prices for such security in the principal over-the-counter market on which such security is traded on such date (or, if such date is not a trading date on which there was a sale of such security on such market, for the last preceding date on which there was a sale of such security in such market), or (C) if the security is not then listed on a natonal stock exchange or traded on an over-the-counter market, the fair market value of such security on any date shall be such value as the Commitee in its discreton may in good</w:t>
      </w:r>
    </w:p>
    <w:p>
      <w:pPr>
        <w:sectPr>
          <w:pgSz w:w="11900" w:h="16838" w:orient="portrait"/>
          <w:cols w:equalWidth="0" w:num="1">
            <w:col w:w="11240"/>
          </w:cols>
          <w:pgMar w:left="320" w:top="1407" w:right="339" w:bottom="1440" w:gutter="0" w:footer="0" w:header="0"/>
        </w:sectPr>
      </w:pPr>
    </w:p>
    <w:bookmarkStart w:id="136" w:name="page137"/>
    <w:bookmarkEnd w:id="136"/>
    <w:p>
      <w:pPr>
        <w:jc w:val="both"/>
        <w:spacing w:after="0" w:line="229" w:lineRule="auto"/>
        <w:rPr>
          <w:sz w:val="20"/>
          <w:szCs w:val="20"/>
          <w:color w:val="auto"/>
        </w:rPr>
      </w:pPr>
      <w:r>
        <w:rPr>
          <w:rFonts w:ascii="Calibri" w:cs="Calibri" w:eastAsia="Calibri" w:hAnsi="Calibri"/>
          <w:sz w:val="22"/>
          <w:szCs w:val="22"/>
          <w:color w:val="auto"/>
        </w:rPr>
        <w:t xml:space="preserve">faith determine;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where Shares are so listed or traded, the Commitee may make such discretonary determinatons where Shares have not been traded for 10 trading days.</w:t>
      </w:r>
    </w:p>
    <w:p>
      <w:pPr>
        <w:spacing w:after="0" w:line="217" w:lineRule="exact"/>
        <w:rPr>
          <w:sz w:val="20"/>
          <w:szCs w:val="20"/>
          <w:color w:val="auto"/>
        </w:rPr>
      </w:pPr>
    </w:p>
    <w:p>
      <w:pPr>
        <w:jc w:val="both"/>
        <w:ind w:right="20" w:firstLine="648"/>
        <w:spacing w:after="0" w:line="235"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Good Reason</w:t>
      </w:r>
      <w:r>
        <w:rPr>
          <w:rFonts w:ascii="Calibri" w:cs="Calibri" w:eastAsia="Calibri" w:hAnsi="Calibri"/>
          <w:sz w:val="22"/>
          <w:szCs w:val="22"/>
          <w:color w:val="auto"/>
        </w:rPr>
        <w:t>” means “Good Reason” as defned in the Severance Arrangement, as modifed pursuant to the terms and conditons of Grantee’s Service Agreement.</w:t>
      </w:r>
    </w:p>
    <w:p>
      <w:pPr>
        <w:spacing w:after="0" w:line="217" w:lineRule="exact"/>
        <w:rPr>
          <w:sz w:val="20"/>
          <w:szCs w:val="20"/>
          <w:color w:val="auto"/>
        </w:rPr>
      </w:pPr>
    </w:p>
    <w:p>
      <w:pPr>
        <w:jc w:val="both"/>
        <w:ind w:firstLine="648"/>
        <w:spacing w:after="0"/>
        <w:rPr>
          <w:sz w:val="20"/>
          <w:szCs w:val="20"/>
          <w:color w:val="auto"/>
        </w:rPr>
      </w:pPr>
      <w:r>
        <w:rPr>
          <w:rFonts w:ascii="Calibri" w:cs="Calibri" w:eastAsia="Calibri" w:hAnsi="Calibri"/>
          <w:sz w:val="21"/>
          <w:szCs w:val="21"/>
          <w:color w:val="auto"/>
        </w:rPr>
        <w:t>“</w:t>
      </w:r>
      <w:r>
        <w:rPr>
          <w:rFonts w:ascii="Calibri" w:cs="Calibri" w:eastAsia="Calibri" w:hAnsi="Calibri"/>
          <w:sz w:val="21"/>
          <w:szCs w:val="21"/>
          <w:u w:val="single" w:color="auto"/>
          <w:color w:val="auto"/>
        </w:rPr>
        <w:t>LTIP Units</w:t>
      </w:r>
      <w:r>
        <w:rPr>
          <w:rFonts w:ascii="Calibri" w:cs="Calibri" w:eastAsia="Calibri" w:hAnsi="Calibri"/>
          <w:sz w:val="21"/>
          <w:szCs w:val="21"/>
          <w:color w:val="auto"/>
        </w:rPr>
        <w:t>” means units of limited partnership interest of the Partnership designated as “LTIP Units” in the Partnership Agreement awarded pursuant to this Agreement under the LTIP having the rights, votng powers, restrictons, limitatons as to distributons, qualifcatons and terms and conditons of redempton set forth in the Partnership Agreement. Unless the context otherwise requires, the term “2024 LTIP Units (PB)” shall include all 2024 LTIP Units (PB) and 2024-2 LTIP Units (PB).</w:t>
      </w:r>
    </w:p>
    <w:p>
      <w:pPr>
        <w:spacing w:after="0" w:line="230"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Partnership Agreement</w:t>
      </w:r>
      <w:r>
        <w:rPr>
          <w:rFonts w:ascii="Calibri" w:cs="Calibri" w:eastAsia="Calibri" w:hAnsi="Calibri"/>
          <w:sz w:val="22"/>
          <w:szCs w:val="22"/>
          <w:color w:val="auto"/>
        </w:rPr>
        <w:t>” means the Amended and Restated Limited Partnership Agreement of the Partnership, dated as of March 16, 1994, among the Company, as general partner, and the limited partners who are partes thereto, as amended from tme to tme.</w:t>
      </w:r>
    </w:p>
    <w:p>
      <w:pPr>
        <w:spacing w:after="0" w:line="217"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Peer REIT</w:t>
      </w:r>
      <w:r>
        <w:rPr>
          <w:rFonts w:ascii="Calibri" w:cs="Calibri" w:eastAsia="Calibri" w:hAnsi="Calibri"/>
          <w:sz w:val="22"/>
          <w:szCs w:val="22"/>
          <w:color w:val="auto"/>
        </w:rPr>
        <w:t>” means each of the following business enttes qualifed as real estate investment trusts (“</w:t>
      </w:r>
      <w:r>
        <w:rPr>
          <w:rFonts w:ascii="Calibri" w:cs="Calibri" w:eastAsia="Calibri" w:hAnsi="Calibri"/>
          <w:sz w:val="22"/>
          <w:szCs w:val="22"/>
          <w:u w:val="single" w:color="auto"/>
          <w:color w:val="auto"/>
        </w:rPr>
        <w:t>REITs</w:t>
      </w:r>
      <w:r>
        <w:rPr>
          <w:rFonts w:ascii="Calibri" w:cs="Calibri" w:eastAsia="Calibri" w:hAnsi="Calibri"/>
          <w:sz w:val="22"/>
          <w:szCs w:val="22"/>
          <w:color w:val="auto"/>
        </w:rPr>
        <w:t>”) that are publicly traded, U.S.-based “equity REITs” and are categorized in the Nareit Index as “Mall” or “Shopping Center” REITs and which have a market cap at the start of the performance period of at least $600 million: Simon Property Group, Inc., Regency Centers Corporaton, Federal Realty Investment Trust, Kimco Realty Corporaton, Brixmor Property Group Inc., Retail Opportunity Investments Corp., Urban Edge Propertes, Kite Realty Group Trust, Acadia Realty Trust, Tanger, Inc., Saul Centers, Inc., InvenTrust Propertes Corp., CBL &amp; Associates Propertes, Inc., SITE Centers Corp. and Phillips Edison &amp; Company, Inc.; provided that such business enttes must be publicly traded for the entre Cumulatve Performance Period to consttute a Peer REIT; provided further that if any business entty is delisted due to bankruptcy during the Cumulatve Performance Period it will remain a Peer REIT (such delisted business enttes, “</w:t>
      </w:r>
      <w:r>
        <w:rPr>
          <w:rFonts w:ascii="Calibri" w:cs="Calibri" w:eastAsia="Calibri" w:hAnsi="Calibri"/>
          <w:sz w:val="22"/>
          <w:szCs w:val="22"/>
          <w:u w:val="single" w:color="auto"/>
          <w:color w:val="auto"/>
        </w:rPr>
        <w:t>Delisted Peer REITs</w:t>
      </w:r>
      <w:r>
        <w:rPr>
          <w:rFonts w:ascii="Calibri" w:cs="Calibri" w:eastAsia="Calibri" w:hAnsi="Calibri"/>
          <w:sz w:val="22"/>
          <w:szCs w:val="22"/>
          <w:color w:val="auto"/>
        </w:rPr>
        <w:t>”).</w:t>
      </w:r>
    </w:p>
    <w:p>
      <w:pPr>
        <w:spacing w:after="0" w:line="225"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Peer REIT Total Return</w:t>
      </w:r>
      <w:r>
        <w:rPr>
          <w:rFonts w:ascii="Calibri" w:cs="Calibri" w:eastAsia="Calibri" w:hAnsi="Calibri"/>
          <w:sz w:val="22"/>
          <w:szCs w:val="22"/>
          <w:color w:val="auto"/>
        </w:rPr>
        <w:t>” means, (a) for a Peer REIT other than a Delisted Peer REIT, with respect to the Cumulatve Performance Period, the absolute total stockholder return of the common equity of such Peer REIT during the Cumulatve Performance Period, calculated in the same manner as Total Return is calculated for the Company and (b) for a Delisted Peer REIT, an absolute total stockholder return of -100%.</w:t>
      </w:r>
    </w:p>
    <w:p>
      <w:pPr>
        <w:spacing w:after="0" w:line="231"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Person</w:t>
      </w:r>
      <w:r>
        <w:rPr>
          <w:rFonts w:ascii="Calibri" w:cs="Calibri" w:eastAsia="Calibri" w:hAnsi="Calibri"/>
          <w:sz w:val="22"/>
          <w:szCs w:val="22"/>
          <w:color w:val="auto"/>
        </w:rPr>
        <w:t>” means an individual, corporaton, partnership, limited liability company, joint venture, associaton, trust, unincorporated organizaton, other entty or “group” (as defned in the Exchange Act).</w:t>
      </w:r>
    </w:p>
    <w:p>
      <w:pPr>
        <w:spacing w:after="0" w:line="217" w:lineRule="exact"/>
        <w:rPr>
          <w:sz w:val="20"/>
          <w:szCs w:val="20"/>
          <w:color w:val="auto"/>
        </w:rPr>
      </w:pPr>
    </w:p>
    <w:p>
      <w:pPr>
        <w:jc w:val="both"/>
        <w:ind w:right="20"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Qualifed Terminaton</w:t>
      </w:r>
      <w:r>
        <w:rPr>
          <w:rFonts w:ascii="Calibri" w:cs="Calibri" w:eastAsia="Calibri" w:hAnsi="Calibri"/>
          <w:sz w:val="22"/>
          <w:szCs w:val="22"/>
          <w:color w:val="auto"/>
        </w:rPr>
        <w:t>” means a terminaton of the Grantee’s employment (A) by the Company for no reason or for any reason (other than for Cause, death or Disability), or (B) by the Grantee for Good Reason.</w:t>
      </w:r>
    </w:p>
    <w:p>
      <w:pPr>
        <w:spacing w:after="0" w:line="20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Relatve TSR Modifer</w:t>
      </w:r>
      <w:r>
        <w:rPr>
          <w:rFonts w:ascii="Calibri" w:cs="Calibri" w:eastAsia="Calibri" w:hAnsi="Calibri"/>
          <w:sz w:val="22"/>
          <w:szCs w:val="22"/>
          <w:color w:val="auto"/>
        </w:rPr>
        <w:t xml:space="preserve">” has the meaning set forth in </w:t>
      </w:r>
      <w:r>
        <w:rPr>
          <w:rFonts w:ascii="Calibri" w:cs="Calibri" w:eastAsia="Calibri" w:hAnsi="Calibri"/>
          <w:sz w:val="22"/>
          <w:szCs w:val="22"/>
          <w:u w:val="single" w:color="auto"/>
          <w:color w:val="auto"/>
        </w:rPr>
        <w:t>Secton 4(a)</w:t>
      </w:r>
      <w:r>
        <w:rPr>
          <w:rFonts w:ascii="Calibri" w:cs="Calibri" w:eastAsia="Calibri" w:hAnsi="Calibri"/>
          <w:sz w:val="22"/>
          <w:szCs w:val="22"/>
          <w:color w:val="auto"/>
        </w:rPr>
        <w:t>.</w:t>
      </w:r>
    </w:p>
    <w:p>
      <w:pPr>
        <w:sectPr>
          <w:pgSz w:w="11900" w:h="16838" w:orient="portrait"/>
          <w:cols w:equalWidth="0" w:num="1">
            <w:col w:w="11240"/>
          </w:cols>
          <w:pgMar w:left="320" w:top="1407" w:right="339" w:bottom="1440" w:gutter="0" w:footer="0" w:header="0"/>
        </w:sectPr>
      </w:pPr>
    </w:p>
    <w:bookmarkStart w:id="137" w:name="page138"/>
    <w:bookmarkEnd w:id="137"/>
    <w:p>
      <w:pPr>
        <w:ind w:right="20" w:firstLine="648"/>
        <w:spacing w:after="0"/>
        <w:rPr>
          <w:sz w:val="20"/>
          <w:szCs w:val="20"/>
          <w:color w:val="auto"/>
        </w:rPr>
      </w:pPr>
      <w:r>
        <w:rPr>
          <w:rFonts w:ascii="Calibri" w:cs="Calibri" w:eastAsia="Calibri" w:hAnsi="Calibri"/>
          <w:sz w:val="21"/>
          <w:szCs w:val="21"/>
          <w:color w:val="auto"/>
        </w:rPr>
        <w:t>“</w:t>
      </w:r>
      <w:r>
        <w:rPr>
          <w:rFonts w:ascii="Calibri" w:cs="Calibri" w:eastAsia="Calibri" w:hAnsi="Calibri"/>
          <w:sz w:val="21"/>
          <w:szCs w:val="21"/>
          <w:u w:val="single" w:color="auto"/>
          <w:color w:val="auto"/>
        </w:rPr>
        <w:t>Retrement</w:t>
      </w:r>
      <w:r>
        <w:rPr>
          <w:rFonts w:ascii="Calibri" w:cs="Calibri" w:eastAsia="Calibri" w:hAnsi="Calibri"/>
          <w:sz w:val="21"/>
          <w:szCs w:val="21"/>
          <w:color w:val="auto"/>
        </w:rPr>
        <w:t xml:space="preserve">” means Grantee’s voluntary terminaton of employment with the Company and its Subsidiaries on or afer the atainment of age 55 and completon of ten (10) years of employment with the Company and/or a Subsidiary,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that</w:t>
      </w:r>
    </w:p>
    <w:p>
      <w:pPr>
        <w:spacing w:after="0" w:line="2" w:lineRule="exact"/>
        <w:rPr>
          <w:sz w:val="20"/>
          <w:szCs w:val="20"/>
          <w:color w:val="auto"/>
        </w:rPr>
      </w:pPr>
    </w:p>
    <w:p>
      <w:pPr>
        <w:jc w:val="both"/>
        <w:ind w:firstLine="8"/>
        <w:spacing w:after="0" w:line="232" w:lineRule="auto"/>
        <w:tabs>
          <w:tab w:leader="none" w:pos="313" w:val="left"/>
        </w:tabs>
        <w:numPr>
          <w:ilvl w:val="0"/>
          <w:numId w:val="153"/>
        </w:numPr>
        <w:rPr>
          <w:rFonts w:ascii="Calibri" w:cs="Calibri" w:eastAsia="Calibri" w:hAnsi="Calibri"/>
          <w:sz w:val="22"/>
          <w:szCs w:val="22"/>
          <w:color w:val="auto"/>
        </w:rPr>
      </w:pPr>
      <w:r>
        <w:rPr>
          <w:rFonts w:ascii="Calibri" w:cs="Calibri" w:eastAsia="Calibri" w:hAnsi="Calibri"/>
          <w:sz w:val="22"/>
          <w:szCs w:val="22"/>
          <w:color w:val="auto"/>
        </w:rPr>
        <w:t>the Grantee has provided notce of at least six (6) months prior to the efectve date of the Grantee’s retrement and (2) following Retrement the Grantee does not engage in Compettve Actvites during the balance of the Cumulatve Performance Period. For purposes of the foregoing, Grantee shall be provided with years of service creditng in accordance with Grantee’s Service Agreement.</w:t>
      </w:r>
    </w:p>
    <w:p>
      <w:pPr>
        <w:spacing w:after="0" w:line="205"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Service Agreement</w:t>
      </w:r>
      <w:r>
        <w:rPr>
          <w:rFonts w:ascii="Calibri" w:cs="Calibri" w:eastAsia="Calibri" w:hAnsi="Calibri"/>
          <w:sz w:val="22"/>
          <w:szCs w:val="22"/>
          <w:color w:val="auto"/>
        </w:rPr>
        <w:t>” means Grantee’s Employment Agreement with the Company dated as of February 1, 2024.</w:t>
      </w:r>
    </w:p>
    <w:p>
      <w:pPr>
        <w:spacing w:after="0" w:line="215"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Severance Arrangement</w:t>
      </w:r>
      <w:r>
        <w:rPr>
          <w:rFonts w:ascii="Calibri" w:cs="Calibri" w:eastAsia="Calibri" w:hAnsi="Calibri"/>
          <w:sz w:val="22"/>
          <w:szCs w:val="22"/>
          <w:color w:val="auto"/>
        </w:rPr>
        <w:t>” means The Macerich Company Amended and Restated Severance Pay Plan, as in efect on the Efectve Date.</w:t>
      </w:r>
    </w:p>
    <w:p>
      <w:pPr>
        <w:spacing w:after="0" w:line="206"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Share</w:t>
      </w:r>
      <w:r>
        <w:rPr>
          <w:rFonts w:ascii="Calibri" w:cs="Calibri" w:eastAsia="Calibri" w:hAnsi="Calibri"/>
          <w:sz w:val="22"/>
          <w:szCs w:val="22"/>
          <w:color w:val="auto"/>
        </w:rPr>
        <w:t>” means a share of Common Stock, subject to adjustments pursuant to Secton 6.2 of the Stock Plan.</w:t>
      </w:r>
    </w:p>
    <w:p>
      <w:pPr>
        <w:spacing w:after="0" w:line="215"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Share Price</w:t>
      </w:r>
      <w:r>
        <w:rPr>
          <w:rFonts w:ascii="Calibri" w:cs="Calibri" w:eastAsia="Calibri" w:hAnsi="Calibri"/>
          <w:sz w:val="22"/>
          <w:szCs w:val="22"/>
          <w:color w:val="auto"/>
        </w:rPr>
        <w:t xml:space="preserve">” means, as of a partcular date, the Fair Market Value of one Share on such date (or, if such date is not a trading day, the most recent trading day immediately preceding such date); </w:t>
      </w:r>
      <w:r>
        <w:rPr>
          <w:rFonts w:ascii="Calibri" w:cs="Calibri" w:eastAsia="Calibri" w:hAnsi="Calibri"/>
          <w:sz w:val="22"/>
          <w:szCs w:val="22"/>
          <w:u w:val="single" w:color="auto"/>
          <w:color w:val="auto"/>
        </w:rPr>
        <w:t>provided further</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however</w:t>
      </w:r>
      <w:r>
        <w:rPr>
          <w:rFonts w:ascii="Calibri" w:cs="Calibri" w:eastAsia="Calibri" w:hAnsi="Calibri"/>
          <w:sz w:val="22"/>
          <w:szCs w:val="22"/>
          <w:color w:val="auto"/>
        </w:rPr>
        <w:t>, that if such date is the date upon which a Transactonal Sale Event occurs, the Share Price as of such date shall be equal to the fair market value in cash, as determined by the Commitee, of the total consideraton paid or payable in the transacton resultng in the Transactonal Sale Event for one Share.</w:t>
      </w:r>
    </w:p>
    <w:p>
      <w:pPr>
        <w:spacing w:after="0" w:line="220" w:lineRule="exact"/>
        <w:rPr>
          <w:sz w:val="20"/>
          <w:szCs w:val="20"/>
          <w:color w:val="auto"/>
        </w:rPr>
      </w:pPr>
    </w:p>
    <w:p>
      <w:pPr>
        <w:jc w:val="both"/>
        <w:ind w:firstLine="648"/>
        <w:spacing w:after="0" w:line="230"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Total Return</w:t>
      </w:r>
      <w:r>
        <w:rPr>
          <w:rFonts w:ascii="Calibri" w:cs="Calibri" w:eastAsia="Calibri" w:hAnsi="Calibri"/>
          <w:sz w:val="22"/>
          <w:szCs w:val="22"/>
          <w:color w:val="auto"/>
        </w:rPr>
        <w:t xml:space="preserve">” means, with respect to the Cumulatve Performance Period, the compounded total annual return that would have been realized by a stockholder who (A) bought one Share on the frst day of the Cumulatve Performance Period at the Share Price on the date immediately preceding such day, (B) reinvested each dividend and other distributon declared during such period of tme with respect to such Share (and any other Shares previously received upon reinvestment of dividends or other distributons) in additonal Shares at the Fair Market Value on the applicable dividend payment date, and (C) sold all the Shares described in clauses (A) and (B) on the last day of the Cumulatve Performance Period at the Share Price on such date. As set forth in, and pursuant to, </w:t>
      </w:r>
      <w:r>
        <w:rPr>
          <w:rFonts w:ascii="Calibri" w:cs="Calibri" w:eastAsia="Calibri" w:hAnsi="Calibri"/>
          <w:sz w:val="22"/>
          <w:szCs w:val="22"/>
          <w:u w:val="single" w:color="auto"/>
          <w:color w:val="auto"/>
        </w:rPr>
        <w:t>Secton 9</w:t>
      </w:r>
      <w:r>
        <w:rPr>
          <w:rFonts w:ascii="Calibri" w:cs="Calibri" w:eastAsia="Calibri" w:hAnsi="Calibri"/>
          <w:sz w:val="22"/>
          <w:szCs w:val="22"/>
          <w:color w:val="auto"/>
        </w:rPr>
        <w:t xml:space="preserve"> hereof, appropriate adjustments to the Total Return shall be made to take into account all stock dividends, stock splits, reverse stock splits and the other events set forth in </w:t>
      </w:r>
      <w:r>
        <w:rPr>
          <w:rFonts w:ascii="Calibri" w:cs="Calibri" w:eastAsia="Calibri" w:hAnsi="Calibri"/>
          <w:sz w:val="22"/>
          <w:szCs w:val="22"/>
          <w:u w:val="single" w:color="auto"/>
          <w:color w:val="auto"/>
        </w:rPr>
        <w:t>Secton 9</w:t>
      </w:r>
      <w:r>
        <w:rPr>
          <w:rFonts w:ascii="Calibri" w:cs="Calibri" w:eastAsia="Calibri" w:hAnsi="Calibri"/>
          <w:sz w:val="22"/>
          <w:szCs w:val="22"/>
          <w:color w:val="auto"/>
        </w:rPr>
        <w:t xml:space="preserve"> hereof that occur during the Cumulatve Performance Period. In calculatng Total Return, it is the current intenton of the Commitee to use total return to stockholders data for the Company and (when calculatng Peer REIT Total Return, the Peer REITs) available from one or more third party sources, though the Commitee reserves the right in its reasonable discreton to retain the services of a consultant to analyze relevant data or perform necessary calculatons for purposes of this Award. If the Commitee delegates the calculaton of Total Return to a valuaton or other expert, including maters such as the determinaton of dividend reinvestment and, when calculatng Peer REIT Total Return, the inclusion or exclusion of REITs as Peer REITs, the Commitee is enttled to rely on such valuaton or other expert.</w:t>
      </w:r>
    </w:p>
    <w:p>
      <w:pPr>
        <w:sectPr>
          <w:pgSz w:w="11900" w:h="16838" w:orient="portrait"/>
          <w:cols w:equalWidth="0" w:num="1">
            <w:col w:w="11240"/>
          </w:cols>
          <w:pgMar w:left="320" w:top="1407" w:right="339" w:bottom="1440" w:gutter="0" w:footer="0" w:header="0"/>
        </w:sectPr>
      </w:pPr>
    </w:p>
    <w:bookmarkStart w:id="138" w:name="page139"/>
    <w:bookmarkEnd w:id="138"/>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Transactonal Sale Event</w:t>
      </w:r>
      <w:r>
        <w:rPr>
          <w:rFonts w:ascii="Calibri" w:cs="Calibri" w:eastAsia="Calibri" w:hAnsi="Calibri"/>
          <w:sz w:val="22"/>
          <w:szCs w:val="22"/>
          <w:color w:val="auto"/>
        </w:rPr>
        <w:t>” means (A) a Change of Control described in clause (a) of the defniton thereof as a result of a tender ofer for Shares or (B) a Change of Control described in clause (c) of the defniton thereof.</w:t>
      </w:r>
    </w:p>
    <w:p>
      <w:pPr>
        <w:spacing w:after="0" w:line="217"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Units</w:t>
      </w:r>
      <w:r>
        <w:rPr>
          <w:rFonts w:ascii="Calibri" w:cs="Calibri" w:eastAsia="Calibri" w:hAnsi="Calibri"/>
          <w:sz w:val="22"/>
          <w:szCs w:val="22"/>
          <w:color w:val="auto"/>
        </w:rPr>
        <w:t>” means Partnership Units (as defned in the Partnership Agreement) that are outstanding or are issuable upon the conversion, exercise, exchange or redempton of any securites of any kind convertble, exercisable, exchangeable or redeemable for Partnership Units.</w:t>
      </w:r>
    </w:p>
    <w:p>
      <w:pPr>
        <w:spacing w:after="0" w:line="204" w:lineRule="exact"/>
        <w:rPr>
          <w:sz w:val="20"/>
          <w:szCs w:val="20"/>
          <w:color w:val="auto"/>
        </w:rPr>
      </w:pPr>
    </w:p>
    <w:p>
      <w:pPr>
        <w:ind w:left="1300" w:hanging="644"/>
        <w:spacing w:after="0"/>
        <w:tabs>
          <w:tab w:leader="none" w:pos="1300" w:val="left"/>
        </w:tabs>
        <w:numPr>
          <w:ilvl w:val="1"/>
          <w:numId w:val="154"/>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Award of 2024 LTIP Units (PB)</w:t>
      </w:r>
      <w:r>
        <w:rPr>
          <w:rFonts w:ascii="Calibri" w:cs="Calibri" w:eastAsia="Calibri" w:hAnsi="Calibri"/>
          <w:sz w:val="22"/>
          <w:szCs w:val="22"/>
          <w:color w:val="auto"/>
        </w:rPr>
        <w:t>.</w:t>
      </w:r>
    </w:p>
    <w:p>
      <w:pPr>
        <w:spacing w:after="0" w:line="216" w:lineRule="exact"/>
        <w:rPr>
          <w:rFonts w:ascii="Calibri" w:cs="Calibri" w:eastAsia="Calibri" w:hAnsi="Calibri"/>
          <w:sz w:val="22"/>
          <w:szCs w:val="22"/>
          <w:color w:val="010000"/>
        </w:rPr>
      </w:pPr>
    </w:p>
    <w:p>
      <w:pPr>
        <w:jc w:val="both"/>
        <w:ind w:firstLine="1304"/>
        <w:spacing w:after="0" w:line="233" w:lineRule="auto"/>
        <w:tabs>
          <w:tab w:leader="none" w:pos="1935" w:val="left"/>
        </w:tabs>
        <w:numPr>
          <w:ilvl w:val="2"/>
          <w:numId w:val="154"/>
        </w:numPr>
        <w:rPr>
          <w:rFonts w:ascii="Calibri" w:cs="Calibri" w:eastAsia="Calibri" w:hAnsi="Calibri"/>
          <w:sz w:val="22"/>
          <w:szCs w:val="22"/>
          <w:color w:val="010000"/>
        </w:rPr>
      </w:pPr>
      <w:r>
        <w:rPr>
          <w:rFonts w:ascii="Calibri" w:cs="Calibri" w:eastAsia="Calibri" w:hAnsi="Calibri"/>
          <w:sz w:val="22"/>
          <w:szCs w:val="22"/>
          <w:color w:val="auto"/>
        </w:rPr>
        <w:t xml:space="preserve">On the terms and conditons set forth in this Agreement, as well as the terms and conditons of the Stock Plan, the Grantee is hereby granted this Award consistng of the number of LTIP Units set forth on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hereto opposite “2024 LTIP Units (PB)”, which is incorporated herein by reference (the “</w:t>
      </w:r>
      <w:r>
        <w:rPr>
          <w:rFonts w:ascii="Calibri" w:cs="Calibri" w:eastAsia="Calibri" w:hAnsi="Calibri"/>
          <w:sz w:val="22"/>
          <w:szCs w:val="22"/>
          <w:u w:val="single" w:color="auto"/>
          <w:color w:val="auto"/>
        </w:rPr>
        <w:t>2024 LTIP Units (PB)</w:t>
      </w:r>
      <w:r>
        <w:rPr>
          <w:rFonts w:ascii="Calibri" w:cs="Calibri" w:eastAsia="Calibri" w:hAnsi="Calibri"/>
          <w:sz w:val="22"/>
          <w:szCs w:val="22"/>
          <w:color w:val="auto"/>
        </w:rPr>
        <w:t>”).</w:t>
      </w:r>
    </w:p>
    <w:p>
      <w:pPr>
        <w:spacing w:after="0" w:line="216" w:lineRule="exact"/>
        <w:rPr>
          <w:rFonts w:ascii="Calibri" w:cs="Calibri" w:eastAsia="Calibri" w:hAnsi="Calibri"/>
          <w:sz w:val="22"/>
          <w:szCs w:val="22"/>
          <w:color w:val="010000"/>
        </w:rPr>
      </w:pPr>
    </w:p>
    <w:p>
      <w:pPr>
        <w:jc w:val="both"/>
        <w:ind w:firstLine="1304"/>
        <w:spacing w:after="0" w:line="242" w:lineRule="auto"/>
        <w:tabs>
          <w:tab w:leader="none" w:pos="1932" w:val="left"/>
        </w:tabs>
        <w:numPr>
          <w:ilvl w:val="2"/>
          <w:numId w:val="154"/>
        </w:numPr>
        <w:rPr>
          <w:rFonts w:ascii="Calibri" w:cs="Calibri" w:eastAsia="Calibri" w:hAnsi="Calibri"/>
          <w:sz w:val="21"/>
          <w:szCs w:val="21"/>
          <w:color w:val="010000"/>
        </w:rPr>
      </w:pPr>
      <w:r>
        <w:rPr>
          <w:rFonts w:ascii="Calibri" w:cs="Calibri" w:eastAsia="Calibri" w:hAnsi="Calibri"/>
          <w:sz w:val="21"/>
          <w:szCs w:val="21"/>
          <w:color w:val="auto"/>
        </w:rPr>
        <w:t xml:space="preserve">If pursuant to </w:t>
      </w:r>
      <w:r>
        <w:rPr>
          <w:rFonts w:ascii="Calibri" w:cs="Calibri" w:eastAsia="Calibri" w:hAnsi="Calibri"/>
          <w:sz w:val="21"/>
          <w:szCs w:val="21"/>
          <w:u w:val="single" w:color="auto"/>
          <w:color w:val="auto"/>
        </w:rPr>
        <w:t>Secton 4</w:t>
      </w:r>
      <w:r>
        <w:rPr>
          <w:rFonts w:ascii="Calibri" w:cs="Calibri" w:eastAsia="Calibri" w:hAnsi="Calibri"/>
          <w:sz w:val="21"/>
          <w:szCs w:val="21"/>
          <w:color w:val="auto"/>
        </w:rPr>
        <w:t xml:space="preserve"> hereof vestng above 100% of the 2024 LTIP Units (PB) occurs, an additonal number of 2024 LTIP Units (PB) shall be granted to the Grantee to cover the excess vestng percentage based on the calculatons to be made pursuant to </w:t>
      </w:r>
      <w:r>
        <w:rPr>
          <w:rFonts w:ascii="Calibri" w:cs="Calibri" w:eastAsia="Calibri" w:hAnsi="Calibri"/>
          <w:sz w:val="21"/>
          <w:szCs w:val="21"/>
          <w:u w:val="single" w:color="auto"/>
          <w:color w:val="auto"/>
        </w:rPr>
        <w:t>Secton 4</w:t>
      </w:r>
      <w:r>
        <w:rPr>
          <w:rFonts w:ascii="Calibri" w:cs="Calibri" w:eastAsia="Calibri" w:hAnsi="Calibri"/>
          <w:sz w:val="21"/>
          <w:szCs w:val="21"/>
          <w:color w:val="auto"/>
        </w:rPr>
        <w:t xml:space="preserve"> hereof (the “</w:t>
      </w:r>
      <w:r>
        <w:rPr>
          <w:rFonts w:ascii="Calibri" w:cs="Calibri" w:eastAsia="Calibri" w:hAnsi="Calibri"/>
          <w:sz w:val="21"/>
          <w:szCs w:val="21"/>
          <w:u w:val="single" w:color="auto"/>
          <w:color w:val="auto"/>
        </w:rPr>
        <w:t>2024-2 LTIP Units (PB)</w:t>
      </w:r>
      <w:r>
        <w:rPr>
          <w:rFonts w:ascii="Calibri" w:cs="Calibri" w:eastAsia="Calibri" w:hAnsi="Calibri"/>
          <w:sz w:val="21"/>
          <w:szCs w:val="21"/>
          <w:color w:val="auto"/>
        </w:rPr>
        <w:t>”) and issued under the Partnership Agreement efectve as of the last day of the Cumulatve Performance Period. In connecton with any such subsequent grant of 2024-2 LTIP Units (PB) the Grantee shall execute and deliver to the Company and the Partnership such documents, comparable to the documents executed and delivered in connecton with the Agreement, as the Company and/or the Partnership reasonably request in order to comply with all applicable legal requirements, including, without limitaton, federal and state securites laws.</w:t>
      </w:r>
    </w:p>
    <w:p>
      <w:pPr>
        <w:spacing w:after="0" w:line="215" w:lineRule="exact"/>
        <w:rPr>
          <w:rFonts w:ascii="Calibri" w:cs="Calibri" w:eastAsia="Calibri" w:hAnsi="Calibri"/>
          <w:sz w:val="21"/>
          <w:szCs w:val="21"/>
          <w:color w:val="010000"/>
        </w:rPr>
      </w:pPr>
    </w:p>
    <w:p>
      <w:pPr>
        <w:jc w:val="both"/>
        <w:ind w:firstLine="1304"/>
        <w:spacing w:after="0" w:line="231" w:lineRule="auto"/>
        <w:tabs>
          <w:tab w:leader="none" w:pos="1937" w:val="left"/>
        </w:tabs>
        <w:numPr>
          <w:ilvl w:val="2"/>
          <w:numId w:val="154"/>
        </w:numPr>
        <w:rPr>
          <w:rFonts w:ascii="Calibri" w:cs="Calibri" w:eastAsia="Calibri" w:hAnsi="Calibri"/>
          <w:sz w:val="22"/>
          <w:szCs w:val="22"/>
          <w:color w:val="010000"/>
        </w:rPr>
      </w:pPr>
      <w:r>
        <w:rPr>
          <w:rFonts w:ascii="Calibri" w:cs="Calibri" w:eastAsia="Calibri" w:hAnsi="Calibri"/>
          <w:sz w:val="22"/>
          <w:szCs w:val="22"/>
          <w:color w:val="auto"/>
        </w:rPr>
        <w:t xml:space="preserve">If pursuant to </w:t>
      </w:r>
      <w:r>
        <w:rPr>
          <w:rFonts w:ascii="Calibri" w:cs="Calibri" w:eastAsia="Calibri" w:hAnsi="Calibri"/>
          <w:sz w:val="22"/>
          <w:szCs w:val="22"/>
          <w:u w:val="single" w:color="auto"/>
          <w:color w:val="auto"/>
        </w:rPr>
        <w:t>Secton 3(b)</w:t>
      </w:r>
      <w:r>
        <w:rPr>
          <w:rFonts w:ascii="Calibri" w:cs="Calibri" w:eastAsia="Calibri" w:hAnsi="Calibri"/>
          <w:sz w:val="22"/>
          <w:szCs w:val="22"/>
          <w:color w:val="auto"/>
        </w:rPr>
        <w:t xml:space="preserve"> hereof 2024-2 LTIP Units (PB) are granted and issued to the Grantee, a payment in cash shall be made to the Grantee as soon as practcable afer the tme of such grant and issuance in an amount equal to (i) the total amount of all distributons paid with respect to one Unit between the date of grant of the 2024 LTIP Units (PB) and the LTIP Unit Distributon Partcipaton Date provided in </w:t>
      </w:r>
      <w:r>
        <w:rPr>
          <w:rFonts w:ascii="Calibri" w:cs="Calibri" w:eastAsia="Calibri" w:hAnsi="Calibri"/>
          <w:sz w:val="22"/>
          <w:szCs w:val="22"/>
          <w:u w:val="single" w:color="auto"/>
          <w:color w:val="auto"/>
        </w:rPr>
        <w:t>Secton 7(a)</w:t>
      </w:r>
      <w:r>
        <w:rPr>
          <w:rFonts w:ascii="Calibri" w:cs="Calibri" w:eastAsia="Calibri" w:hAnsi="Calibri"/>
          <w:sz w:val="22"/>
          <w:szCs w:val="22"/>
          <w:color w:val="auto"/>
        </w:rPr>
        <w:t xml:space="preserve"> multplied by (ii) the number of 2024-2 LTIP Units (PB) granted and issued pursuant to </w:t>
      </w:r>
      <w:r>
        <w:rPr>
          <w:rFonts w:ascii="Calibri" w:cs="Calibri" w:eastAsia="Calibri" w:hAnsi="Calibri"/>
          <w:sz w:val="22"/>
          <w:szCs w:val="22"/>
          <w:u w:val="single" w:color="auto"/>
          <w:color w:val="auto"/>
        </w:rPr>
        <w:t>Secton 3(b)</w:t>
      </w:r>
      <w:r>
        <w:rPr>
          <w:rFonts w:ascii="Calibri" w:cs="Calibri" w:eastAsia="Calibri" w:hAnsi="Calibri"/>
          <w:sz w:val="22"/>
          <w:szCs w:val="22"/>
          <w:color w:val="auto"/>
        </w:rPr>
        <w:t xml:space="preserve"> hereof.</w:t>
      </w:r>
    </w:p>
    <w:p>
      <w:pPr>
        <w:spacing w:after="0" w:line="219" w:lineRule="exact"/>
        <w:rPr>
          <w:rFonts w:ascii="Calibri" w:cs="Calibri" w:eastAsia="Calibri" w:hAnsi="Calibri"/>
          <w:sz w:val="22"/>
          <w:szCs w:val="22"/>
          <w:color w:val="010000"/>
        </w:rPr>
      </w:pPr>
    </w:p>
    <w:p>
      <w:pPr>
        <w:jc w:val="both"/>
        <w:ind w:firstLine="1304"/>
        <w:spacing w:after="0" w:line="229" w:lineRule="auto"/>
        <w:tabs>
          <w:tab w:leader="none" w:pos="1932" w:val="left"/>
        </w:tabs>
        <w:numPr>
          <w:ilvl w:val="2"/>
          <w:numId w:val="154"/>
        </w:numPr>
        <w:rPr>
          <w:rFonts w:ascii="Calibri" w:cs="Calibri" w:eastAsia="Calibri" w:hAnsi="Calibri"/>
          <w:sz w:val="22"/>
          <w:szCs w:val="22"/>
          <w:color w:val="010000"/>
        </w:rPr>
      </w:pPr>
      <w:r>
        <w:rPr>
          <w:rFonts w:ascii="Calibri" w:cs="Calibri" w:eastAsia="Calibri" w:hAnsi="Calibri"/>
          <w:sz w:val="22"/>
          <w:szCs w:val="22"/>
          <w:color w:val="auto"/>
        </w:rPr>
        <w:t>2024 LTIP Units (PB) shall consttute and be treated as the property of the Grantee as of the applicable grant date, subject to the terms of this Agreement and the Partnership Agreement. Every grant of 2024 LTIP Units (PB) to the Grantee pursuant to this Award shall be set forth in minutes of the meetngs of the Commitee. 2024 LTIP Units (PB) will be:</w:t>
      </w:r>
    </w:p>
    <w:p>
      <w:pPr>
        <w:spacing w:after="0" w:line="14" w:lineRule="exact"/>
        <w:rPr>
          <w:rFonts w:ascii="Calibri" w:cs="Calibri" w:eastAsia="Calibri" w:hAnsi="Calibri"/>
          <w:sz w:val="22"/>
          <w:szCs w:val="22"/>
          <w:color w:val="010000"/>
        </w:rPr>
      </w:pPr>
    </w:p>
    <w:p>
      <w:pPr>
        <w:ind w:firstLine="8"/>
        <w:spacing w:after="0" w:line="229" w:lineRule="auto"/>
        <w:tabs>
          <w:tab w:leader="none" w:pos="332" w:val="left"/>
        </w:tabs>
        <w:numPr>
          <w:ilvl w:val="0"/>
          <w:numId w:val="155"/>
        </w:numPr>
        <w:rPr>
          <w:rFonts w:ascii="Calibri" w:cs="Calibri" w:eastAsia="Calibri" w:hAnsi="Calibri"/>
          <w:sz w:val="22"/>
          <w:szCs w:val="22"/>
          <w:color w:val="auto"/>
        </w:rPr>
      </w:pPr>
      <w:r>
        <w:rPr>
          <w:rFonts w:ascii="Calibri" w:cs="Calibri" w:eastAsia="Calibri" w:hAnsi="Calibri"/>
          <w:sz w:val="22"/>
          <w:szCs w:val="22"/>
          <w:color w:val="auto"/>
        </w:rPr>
        <w:t xml:space="preserve">subject to vestng and/or forfeiture to the extent provided in </w:t>
      </w:r>
      <w:r>
        <w:rPr>
          <w:rFonts w:ascii="Calibri" w:cs="Calibri" w:eastAsia="Calibri" w:hAnsi="Calibri"/>
          <w:sz w:val="22"/>
          <w:szCs w:val="22"/>
          <w:u w:val="single" w:color="auto"/>
          <w:color w:val="auto"/>
        </w:rPr>
        <w:t>Sectons 4</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hereof; and (B) subject to restrictons on transfer as provided in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hereof.</w:t>
      </w:r>
    </w:p>
    <w:p>
      <w:pPr>
        <w:spacing w:after="0" w:line="205" w:lineRule="exact"/>
        <w:rPr>
          <w:rFonts w:ascii="Calibri" w:cs="Calibri" w:eastAsia="Calibri" w:hAnsi="Calibri"/>
          <w:sz w:val="22"/>
          <w:szCs w:val="22"/>
          <w:color w:val="auto"/>
        </w:rPr>
      </w:pPr>
    </w:p>
    <w:p>
      <w:pPr>
        <w:ind w:left="1300" w:hanging="644"/>
        <w:spacing w:after="0"/>
        <w:tabs>
          <w:tab w:leader="none" w:pos="1300" w:val="left"/>
        </w:tabs>
        <w:numPr>
          <w:ilvl w:val="1"/>
          <w:numId w:val="155"/>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Vestng of 2024 LTIP Units (PB)</w:t>
      </w:r>
      <w:r>
        <w:rPr>
          <w:rFonts w:ascii="Calibri" w:cs="Calibri" w:eastAsia="Calibri" w:hAnsi="Calibri"/>
          <w:sz w:val="22"/>
          <w:szCs w:val="22"/>
          <w:color w:val="auto"/>
        </w:rPr>
        <w:t>.</w:t>
      </w:r>
    </w:p>
    <w:p>
      <w:pPr>
        <w:spacing w:after="0" w:line="214" w:lineRule="exact"/>
        <w:rPr>
          <w:rFonts w:ascii="Calibri" w:cs="Calibri" w:eastAsia="Calibri" w:hAnsi="Calibri"/>
          <w:sz w:val="22"/>
          <w:szCs w:val="22"/>
          <w:color w:val="010000"/>
        </w:rPr>
      </w:pPr>
    </w:p>
    <w:p>
      <w:pPr>
        <w:jc w:val="both"/>
        <w:ind w:firstLine="1304"/>
        <w:spacing w:after="0" w:line="229" w:lineRule="auto"/>
        <w:tabs>
          <w:tab w:leader="none" w:pos="1935" w:val="left"/>
        </w:tabs>
        <w:numPr>
          <w:ilvl w:val="2"/>
          <w:numId w:val="155"/>
        </w:numPr>
        <w:rPr>
          <w:rFonts w:ascii="Calibri" w:cs="Calibri" w:eastAsia="Calibri" w:hAnsi="Calibri"/>
          <w:sz w:val="22"/>
          <w:szCs w:val="22"/>
          <w:color w:val="010000"/>
        </w:rPr>
      </w:pPr>
      <w:r>
        <w:rPr>
          <w:rFonts w:ascii="Calibri" w:cs="Calibri" w:eastAsia="Calibri" w:hAnsi="Calibri"/>
          <w:sz w:val="22"/>
          <w:szCs w:val="22"/>
          <w:color w:val="auto"/>
        </w:rPr>
        <w:t>The number of 2024 LTIP Units (PB) that will be earned pursuant to this Award will be based on the Company’s [performance metrics] for the 2024 Performance Period, 2025 Performance Period, 2026 Performance Period and the Cumulatve Performance Period,</w:t>
      </w:r>
    </w:p>
    <w:p>
      <w:pPr>
        <w:sectPr>
          <w:pgSz w:w="11900" w:h="16838" w:orient="portrait"/>
          <w:cols w:equalWidth="0" w:num="1">
            <w:col w:w="11240"/>
          </w:cols>
          <w:pgMar w:left="320" w:top="1407" w:right="339" w:bottom="1440" w:gutter="0" w:footer="0" w:header="0"/>
        </w:sectPr>
      </w:pPr>
    </w:p>
    <w:bookmarkStart w:id="139" w:name="page140"/>
    <w:bookmarkEnd w:id="139"/>
    <w:p>
      <w:pPr>
        <w:jc w:val="both"/>
        <w:spacing w:after="0" w:line="229" w:lineRule="auto"/>
        <w:rPr>
          <w:sz w:val="20"/>
          <w:szCs w:val="20"/>
          <w:color w:val="auto"/>
        </w:rPr>
      </w:pPr>
      <w:r>
        <w:rPr>
          <w:rFonts w:ascii="Calibri" w:cs="Calibri" w:eastAsia="Calibri" w:hAnsi="Calibri"/>
          <w:sz w:val="22"/>
          <w:szCs w:val="22"/>
          <w:color w:val="auto"/>
        </w:rPr>
        <w:t>subject to a potental cap on number of earned units based on the Company’s Total Return (the “Absolute TSR Cap”), and subject to adjustment based on the percentle rank of the Company’s Total Return relatve to the Peer REIT Total Return for the Peer REITs for the Cumulatve Performance Period (the “</w:t>
      </w:r>
      <w:r>
        <w:rPr>
          <w:rFonts w:ascii="Calibri" w:cs="Calibri" w:eastAsia="Calibri" w:hAnsi="Calibri"/>
          <w:sz w:val="22"/>
          <w:szCs w:val="22"/>
          <w:u w:val="single" w:color="auto"/>
          <w:color w:val="auto"/>
        </w:rPr>
        <w:t>Relatve TSR Modifer</w:t>
      </w:r>
      <w:r>
        <w:rPr>
          <w:rFonts w:ascii="Calibri" w:cs="Calibri" w:eastAsia="Calibri" w:hAnsi="Calibri"/>
          <w:sz w:val="22"/>
          <w:szCs w:val="22"/>
          <w:color w:val="auto"/>
        </w:rPr>
        <w:t>”), as set forth below.</w:t>
      </w:r>
    </w:p>
    <w:p>
      <w:pPr>
        <w:spacing w:after="0" w:line="230" w:lineRule="exact"/>
        <w:rPr>
          <w:sz w:val="20"/>
          <w:szCs w:val="20"/>
          <w:color w:val="auto"/>
        </w:rPr>
      </w:pPr>
    </w:p>
    <w:p>
      <w:pPr>
        <w:jc w:val="both"/>
        <w:ind w:firstLine="1304"/>
        <w:spacing w:after="0" w:line="229" w:lineRule="auto"/>
        <w:tabs>
          <w:tab w:leader="none" w:pos="1932" w:val="left"/>
        </w:tabs>
        <w:numPr>
          <w:ilvl w:val="0"/>
          <w:numId w:val="156"/>
        </w:numPr>
        <w:rPr>
          <w:rFonts w:ascii="Calibri" w:cs="Calibri" w:eastAsia="Calibri" w:hAnsi="Calibri"/>
          <w:sz w:val="22"/>
          <w:szCs w:val="22"/>
          <w:color w:val="010000"/>
        </w:rPr>
      </w:pPr>
      <w:r>
        <w:rPr>
          <w:rFonts w:ascii="Calibri" w:cs="Calibri" w:eastAsia="Calibri" w:hAnsi="Calibri"/>
          <w:sz w:val="22"/>
          <w:szCs w:val="22"/>
          <w:color w:val="auto"/>
        </w:rPr>
        <w:t xml:space="preserve">Except as otherwise set forth in this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below, the 2024 LTIP Units (PB) shall be earned for the applicable performance periods on the basis of the Company’s performance on certain [performance metrics] relatve to the “threshold,” “target,” “maximum,” and “outperformance maximum” levels and will become vested at the end of the Cumulatve Performance Period (or at such other date as provided in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hereof).</w:t>
      </w:r>
    </w:p>
    <w:p>
      <w:pPr>
        <w:spacing w:after="0" w:line="217" w:lineRule="exact"/>
        <w:rPr>
          <w:sz w:val="20"/>
          <w:szCs w:val="20"/>
          <w:color w:val="auto"/>
        </w:rPr>
      </w:pPr>
    </w:p>
    <w:p>
      <w:pPr>
        <w:jc w:val="both"/>
        <w:ind w:firstLine="393"/>
        <w:spacing w:after="0" w:line="231" w:lineRule="auto"/>
        <w:rPr>
          <w:sz w:val="20"/>
          <w:szCs w:val="20"/>
          <w:color w:val="auto"/>
        </w:rPr>
      </w:pPr>
      <w:r>
        <w:rPr>
          <w:rFonts w:ascii="Calibri" w:cs="Calibri" w:eastAsia="Calibri" w:hAnsi="Calibri"/>
          <w:sz w:val="22"/>
          <w:szCs w:val="22"/>
          <w:color w:val="auto"/>
        </w:rPr>
        <w:t>As soon as practcable following each of the 2024 Performance Period, the 2025 Performance Period and the 2026 Performance Period, the Commitee shall determine the Company’s [performance metrics]for such period. In the event that any of the foregoing performance periods concludes (or does not commence) as a result of a Change of Control or the Company’s performance for any such period cannot be determined, the performance metrics shall be deemed to have been achieved at Target performance for any such performance period.</w:t>
      </w:r>
    </w:p>
    <w:p>
      <w:pPr>
        <w:spacing w:after="0" w:line="220" w:lineRule="exact"/>
        <w:rPr>
          <w:sz w:val="20"/>
          <w:szCs w:val="20"/>
          <w:color w:val="auto"/>
        </w:rPr>
      </w:pPr>
    </w:p>
    <w:p>
      <w:pPr>
        <w:jc w:val="both"/>
        <w:ind w:firstLine="1304"/>
        <w:spacing w:after="0" w:line="243" w:lineRule="auto"/>
        <w:tabs>
          <w:tab w:leader="none" w:pos="1937" w:val="left"/>
        </w:tabs>
        <w:numPr>
          <w:ilvl w:val="0"/>
          <w:numId w:val="157"/>
        </w:numPr>
        <w:rPr>
          <w:rFonts w:ascii="Calibri" w:cs="Calibri" w:eastAsia="Calibri" w:hAnsi="Calibri"/>
          <w:sz w:val="21"/>
          <w:szCs w:val="21"/>
          <w:color w:val="010000"/>
        </w:rPr>
      </w:pPr>
      <w:r>
        <w:rPr>
          <w:rFonts w:ascii="Calibri" w:cs="Calibri" w:eastAsia="Calibri" w:hAnsi="Calibri"/>
          <w:sz w:val="21"/>
          <w:szCs w:val="21"/>
          <w:color w:val="auto"/>
        </w:rPr>
        <w:t>Notwithstanding Sectons 4(b) and (c), in order for any percentage of LTIP Units to be earned in excess of 150%, based on linear interpolaton between the “maximum” and “outperformance maximum” levels, the Company’s Total Return for the Cumulatve Performance Period must be greater than or equal to 15%. In the event the Company’s Total Return is less than 15%, any payout under Sectons 4(b) and (c) will be capped at 150%, subject to further adjustment pursuant to Secton 4(e). In no event will the percentage of LTIP units to be earned pursuant to Sectons 4(b) and (c) exceed 225%.</w:t>
      </w:r>
    </w:p>
    <w:p>
      <w:pPr>
        <w:spacing w:after="0" w:line="214" w:lineRule="exact"/>
        <w:rPr>
          <w:rFonts w:ascii="Calibri" w:cs="Calibri" w:eastAsia="Calibri" w:hAnsi="Calibri"/>
          <w:sz w:val="21"/>
          <w:szCs w:val="21"/>
          <w:color w:val="010000"/>
        </w:rPr>
      </w:pPr>
    </w:p>
    <w:p>
      <w:pPr>
        <w:jc w:val="both"/>
        <w:ind w:right="20" w:firstLine="1304"/>
        <w:spacing w:after="0" w:line="233" w:lineRule="auto"/>
        <w:tabs>
          <w:tab w:leader="none" w:pos="1932" w:val="left"/>
        </w:tabs>
        <w:numPr>
          <w:ilvl w:val="0"/>
          <w:numId w:val="157"/>
        </w:numPr>
        <w:rPr>
          <w:rFonts w:ascii="Calibri" w:cs="Calibri" w:eastAsia="Calibri" w:hAnsi="Calibri"/>
          <w:sz w:val="22"/>
          <w:szCs w:val="22"/>
          <w:color w:val="010000"/>
        </w:rPr>
      </w:pPr>
      <w:r>
        <w:rPr>
          <w:rFonts w:ascii="Calibri" w:cs="Calibri" w:eastAsia="Calibri" w:hAnsi="Calibri"/>
          <w:sz w:val="22"/>
          <w:szCs w:val="22"/>
          <w:color w:val="auto"/>
        </w:rPr>
        <w:t xml:space="preserve">As soon as practcable following the conclusion of the Cumulatve Performance Period, the number of earned 2024 LTIP Units (PB) determined pursuant to </w:t>
      </w:r>
      <w:r>
        <w:rPr>
          <w:rFonts w:ascii="Calibri" w:cs="Calibri" w:eastAsia="Calibri" w:hAnsi="Calibri"/>
          <w:sz w:val="22"/>
          <w:szCs w:val="22"/>
          <w:u w:val="single" w:color="auto"/>
          <w:color w:val="auto"/>
        </w:rPr>
        <w:t>Sectons 4(b)</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(c)</w:t>
      </w:r>
      <w:r>
        <w:rPr>
          <w:rFonts w:ascii="Calibri" w:cs="Calibri" w:eastAsia="Calibri" w:hAnsi="Calibri"/>
          <w:sz w:val="22"/>
          <w:szCs w:val="22"/>
          <w:color w:val="auto"/>
        </w:rPr>
        <w:t xml:space="preserve"> above, as adjusted pursuant to Secton 4(d), will be further modifed by the Relatve TSR Modifer as set forth below:</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880" w:type="dxa"/>
            <w:vAlign w:val="bottom"/>
            <w:tcBorders>
              <w:top w:val="single" w:sz="8" w:color="00000A"/>
              <w:left w:val="single" w:sz="8" w:color="00000A"/>
              <w:right w:val="single" w:sz="8" w:color="00000A"/>
            </w:tcBorders>
            <w:vMerge w:val="restart"/>
            <w:shd w:val="clear" w:color="auto" w:fill="BFBFBF"/>
          </w:tcPr>
          <w:p>
            <w:pPr>
              <w:ind w:left="40"/>
              <w:spacing w:after="0"/>
              <w:rPr>
                <w:sz w:val="20"/>
                <w:szCs w:val="20"/>
                <w:color w:val="auto"/>
              </w:rPr>
            </w:pPr>
            <w:r>
              <w:rPr>
                <w:rFonts w:ascii="Calibri" w:cs="Calibri" w:eastAsia="Calibri" w:hAnsi="Calibri"/>
                <w:sz w:val="22"/>
                <w:szCs w:val="22"/>
                <w:b w:val="1"/>
                <w:bCs w:val="1"/>
                <w:color w:val="auto"/>
              </w:rPr>
              <w:t>Percentle Rank</w:t>
            </w:r>
          </w:p>
        </w:tc>
        <w:tc>
          <w:tcPr>
            <w:tcW w:w="6240" w:type="dxa"/>
            <w:vAlign w:val="bottom"/>
            <w:tcBorders>
              <w:top w:val="single" w:sz="8" w:color="00000A"/>
              <w:right w:val="single" w:sz="8" w:color="00000A"/>
            </w:tcBorders>
            <w:shd w:val="clear" w:color="auto" w:fill="BFBFBF"/>
          </w:tcPr>
          <w:p>
            <w:pPr>
              <w:jc w:val="center"/>
              <w:spacing w:after="0" w:line="214" w:lineRule="exact"/>
              <w:rPr>
                <w:sz w:val="20"/>
                <w:szCs w:val="20"/>
                <w:color w:val="auto"/>
              </w:rPr>
            </w:pPr>
            <w:r>
              <w:rPr>
                <w:rFonts w:ascii="Calibri" w:cs="Calibri" w:eastAsia="Calibri" w:hAnsi="Calibri"/>
                <w:sz w:val="22"/>
                <w:szCs w:val="22"/>
                <w:b w:val="1"/>
                <w:bCs w:val="1"/>
                <w:color w:val="auto"/>
                <w:w w:val="99"/>
              </w:rPr>
              <w:t>Percentage Earned Modifer* (modifes aggregate number of earned</w:t>
            </w:r>
          </w:p>
        </w:tc>
        <w:tc>
          <w:tcPr>
            <w:tcW w:w="0" w:type="dxa"/>
            <w:vAlign w:val="bottom"/>
          </w:tcPr>
          <w:p>
            <w:pPr>
              <w:spacing w:after="0"/>
              <w:rPr>
                <w:sz w:val="1"/>
                <w:szCs w:val="1"/>
                <w:color w:val="auto"/>
              </w:rPr>
            </w:pPr>
          </w:p>
        </w:tc>
      </w:tr>
      <w:tr>
        <w:trPr>
          <w:trHeight w:val="148"/>
        </w:trPr>
        <w:tc>
          <w:tcPr>
            <w:tcW w:w="4880" w:type="dxa"/>
            <w:vAlign w:val="bottom"/>
            <w:tcBorders>
              <w:left w:val="single" w:sz="8" w:color="00000A"/>
              <w:right w:val="single" w:sz="8" w:color="00000A"/>
            </w:tcBorders>
            <w:vMerge w:val="continue"/>
            <w:shd w:val="clear" w:color="auto" w:fill="BFBFBF"/>
          </w:tcPr>
          <w:p>
            <w:pPr>
              <w:spacing w:after="0"/>
              <w:rPr>
                <w:sz w:val="12"/>
                <w:szCs w:val="12"/>
                <w:color w:val="auto"/>
              </w:rPr>
            </w:pPr>
          </w:p>
        </w:tc>
        <w:tc>
          <w:tcPr>
            <w:tcW w:w="6240" w:type="dxa"/>
            <w:vAlign w:val="bottom"/>
            <w:tcBorders>
              <w:right w:val="single" w:sz="8" w:color="00000A"/>
            </w:tcBorders>
            <w:vMerge w:val="restart"/>
            <w:shd w:val="clear" w:color="auto" w:fill="BFBFBF"/>
          </w:tcPr>
          <w:p>
            <w:pPr>
              <w:jc w:val="center"/>
              <w:spacing w:after="0" w:line="256" w:lineRule="exact"/>
              <w:rPr>
                <w:sz w:val="20"/>
                <w:szCs w:val="20"/>
                <w:color w:val="auto"/>
              </w:rPr>
            </w:pPr>
            <w:r>
              <w:rPr>
                <w:rFonts w:ascii="Calibri" w:cs="Calibri" w:eastAsia="Calibri" w:hAnsi="Calibri"/>
                <w:sz w:val="22"/>
                <w:szCs w:val="22"/>
                <w:b w:val="1"/>
                <w:bCs w:val="1"/>
                <w:color w:val="auto"/>
                <w:w w:val="96"/>
              </w:rPr>
              <w:t>2024 LTIP Units (PB))</w:t>
            </w:r>
          </w:p>
        </w:tc>
        <w:tc>
          <w:tcPr>
            <w:tcW w:w="0" w:type="dxa"/>
            <w:vAlign w:val="bottom"/>
          </w:tcPr>
          <w:p>
            <w:pPr>
              <w:spacing w:after="0"/>
              <w:rPr>
                <w:sz w:val="1"/>
                <w:szCs w:val="1"/>
                <w:color w:val="auto"/>
              </w:rPr>
            </w:pPr>
          </w:p>
        </w:tc>
      </w:tr>
      <w:tr>
        <w:trPr>
          <w:trHeight w:val="137"/>
        </w:trPr>
        <w:tc>
          <w:tcPr>
            <w:tcW w:w="4880" w:type="dxa"/>
            <w:vAlign w:val="bottom"/>
            <w:tcBorders>
              <w:left w:val="single" w:sz="8" w:color="00000A"/>
              <w:bottom w:val="single" w:sz="8" w:color="BFBFBF"/>
              <w:right w:val="single" w:sz="8" w:color="00000A"/>
            </w:tcBorders>
            <w:shd w:val="clear" w:color="auto" w:fill="BFBFBF"/>
          </w:tcPr>
          <w:p>
            <w:pPr>
              <w:spacing w:after="0"/>
              <w:rPr>
                <w:sz w:val="11"/>
                <w:szCs w:val="11"/>
                <w:color w:val="auto"/>
              </w:rPr>
            </w:pPr>
          </w:p>
        </w:tc>
        <w:tc>
          <w:tcPr>
            <w:tcW w:w="6240" w:type="dxa"/>
            <w:vAlign w:val="bottom"/>
            <w:tcBorders>
              <w:bottom w:val="single" w:sz="8" w:color="BFBFBF"/>
              <w:right w:val="single" w:sz="8" w:color="00000A"/>
            </w:tcBorders>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4880" w:type="dxa"/>
            <w:vAlign w:val="bottom"/>
            <w:tcBorders>
              <w:top w:val="single" w:sz="8" w:color="00000A"/>
              <w:left w:val="single" w:sz="8" w:color="00000A"/>
              <w:bottom w:val="single" w:sz="8" w:color="00000A"/>
              <w:right w:val="single" w:sz="8" w:color="00000A"/>
            </w:tcBorders>
          </w:tcPr>
          <w:p>
            <w:pPr>
              <w:ind w:left="40"/>
              <w:spacing w:after="0" w:line="258" w:lineRule="exact"/>
              <w:rPr>
                <w:sz w:val="20"/>
                <w:szCs w:val="20"/>
                <w:color w:val="auto"/>
              </w:rPr>
            </w:pPr>
            <w:r>
              <w:rPr>
                <w:rFonts w:ascii="Calibri" w:cs="Calibri" w:eastAsia="Calibri" w:hAnsi="Calibri"/>
                <w:sz w:val="22"/>
                <w:szCs w:val="22"/>
                <w:color w:val="auto"/>
              </w:rPr>
              <w:t>25th percentle or below</w:t>
            </w:r>
          </w:p>
        </w:tc>
        <w:tc>
          <w:tcPr>
            <w:tcW w:w="6240" w:type="dxa"/>
            <w:vAlign w:val="bottom"/>
            <w:tcBorders>
              <w:top w:val="single" w:sz="8" w:color="00000A"/>
              <w:bottom w:val="single" w:sz="8" w:color="00000A"/>
              <w:right w:val="single" w:sz="8" w:color="00000A"/>
            </w:tcBorders>
          </w:tcPr>
          <w:p>
            <w:pPr>
              <w:spacing w:after="0" w:line="258" w:lineRule="exact"/>
              <w:rPr>
                <w:sz w:val="20"/>
                <w:szCs w:val="20"/>
                <w:color w:val="auto"/>
              </w:rPr>
            </w:pPr>
            <w:r>
              <w:rPr>
                <w:rFonts w:ascii="Calibri" w:cs="Calibri" w:eastAsia="Calibri" w:hAnsi="Calibri"/>
                <w:sz w:val="22"/>
                <w:szCs w:val="22"/>
                <w:color w:val="auto"/>
              </w:rPr>
              <w:t>-20%</w:t>
            </w:r>
          </w:p>
        </w:tc>
        <w:tc>
          <w:tcPr>
            <w:tcW w:w="0" w:type="dxa"/>
            <w:vAlign w:val="bottom"/>
          </w:tcPr>
          <w:p>
            <w:pPr>
              <w:spacing w:after="0"/>
              <w:rPr>
                <w:sz w:val="1"/>
                <w:szCs w:val="1"/>
                <w:color w:val="auto"/>
              </w:rPr>
            </w:pPr>
          </w:p>
        </w:tc>
      </w:tr>
      <w:tr>
        <w:trPr>
          <w:trHeight w:val="263"/>
        </w:trPr>
        <w:tc>
          <w:tcPr>
            <w:tcW w:w="4880" w:type="dxa"/>
            <w:vAlign w:val="bottom"/>
            <w:tcBorders>
              <w:left w:val="single" w:sz="8" w:color="00000A"/>
              <w:bottom w:val="single" w:sz="8" w:color="00000A"/>
              <w:right w:val="single" w:sz="8" w:color="00000A"/>
            </w:tcBorders>
          </w:tcPr>
          <w:p>
            <w:pPr>
              <w:ind w:left="40"/>
              <w:spacing w:after="0" w:line="256" w:lineRule="exact"/>
              <w:rPr>
                <w:sz w:val="20"/>
                <w:szCs w:val="20"/>
                <w:color w:val="auto"/>
              </w:rPr>
            </w:pPr>
            <w:r>
              <w:rPr>
                <w:rFonts w:ascii="Calibri" w:cs="Calibri" w:eastAsia="Calibri" w:hAnsi="Calibri"/>
                <w:sz w:val="22"/>
                <w:szCs w:val="22"/>
                <w:color w:val="auto"/>
              </w:rPr>
              <w:t>50th percentle</w:t>
            </w:r>
          </w:p>
        </w:tc>
        <w:tc>
          <w:tcPr>
            <w:tcW w:w="6240" w:type="dxa"/>
            <w:vAlign w:val="bottom"/>
            <w:tcBorders>
              <w:bottom w:val="single" w:sz="8" w:color="00000A"/>
              <w:right w:val="single" w:sz="8" w:color="00000A"/>
            </w:tcBorders>
          </w:tcPr>
          <w:p>
            <w:pPr>
              <w:spacing w:after="0" w:line="256" w:lineRule="exact"/>
              <w:rPr>
                <w:sz w:val="20"/>
                <w:szCs w:val="20"/>
                <w:color w:val="auto"/>
              </w:rPr>
            </w:pPr>
            <w:r>
              <w:rPr>
                <w:rFonts w:ascii="Calibri" w:cs="Calibri" w:eastAsia="Calibri" w:hAnsi="Calibri"/>
                <w:sz w:val="22"/>
                <w:szCs w:val="22"/>
                <w:color w:val="auto"/>
              </w:rPr>
              <w:t>0% (no modifcaton)</w:t>
            </w:r>
          </w:p>
        </w:tc>
        <w:tc>
          <w:tcPr>
            <w:tcW w:w="0" w:type="dxa"/>
            <w:vAlign w:val="bottom"/>
          </w:tcPr>
          <w:p>
            <w:pPr>
              <w:spacing w:after="0"/>
              <w:rPr>
                <w:sz w:val="1"/>
                <w:szCs w:val="1"/>
                <w:color w:val="auto"/>
              </w:rPr>
            </w:pPr>
          </w:p>
        </w:tc>
      </w:tr>
      <w:tr>
        <w:trPr>
          <w:trHeight w:val="264"/>
        </w:trPr>
        <w:tc>
          <w:tcPr>
            <w:tcW w:w="4880" w:type="dxa"/>
            <w:vAlign w:val="bottom"/>
            <w:tcBorders>
              <w:left w:val="single" w:sz="8" w:color="00000A"/>
              <w:bottom w:val="single" w:sz="8" w:color="00000A"/>
              <w:right w:val="single" w:sz="8" w:color="00000A"/>
            </w:tcBorders>
          </w:tcPr>
          <w:p>
            <w:pPr>
              <w:ind w:left="40"/>
              <w:spacing w:after="0" w:line="256" w:lineRule="exact"/>
              <w:rPr>
                <w:sz w:val="20"/>
                <w:szCs w:val="20"/>
                <w:color w:val="auto"/>
              </w:rPr>
            </w:pPr>
            <w:r>
              <w:rPr>
                <w:rFonts w:ascii="Calibri" w:cs="Calibri" w:eastAsia="Calibri" w:hAnsi="Calibri"/>
                <w:sz w:val="22"/>
                <w:szCs w:val="22"/>
                <w:color w:val="auto"/>
              </w:rPr>
              <w:t>At or above 75th percentle</w:t>
            </w:r>
          </w:p>
        </w:tc>
        <w:tc>
          <w:tcPr>
            <w:tcW w:w="6240" w:type="dxa"/>
            <w:vAlign w:val="bottom"/>
            <w:tcBorders>
              <w:bottom w:val="single" w:sz="8" w:color="00000A"/>
              <w:right w:val="single" w:sz="8" w:color="00000A"/>
            </w:tcBorders>
          </w:tcPr>
          <w:p>
            <w:pPr>
              <w:spacing w:after="0" w:line="256" w:lineRule="exact"/>
              <w:rPr>
                <w:sz w:val="20"/>
                <w:szCs w:val="20"/>
                <w:color w:val="auto"/>
              </w:rPr>
            </w:pPr>
            <w:r>
              <w:rPr>
                <w:rFonts w:ascii="Calibri" w:cs="Calibri" w:eastAsia="Calibri" w:hAnsi="Calibri"/>
                <w:sz w:val="22"/>
                <w:szCs w:val="22"/>
                <w:color w:val="auto"/>
              </w:rPr>
              <w:t>+20%</w:t>
            </w: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Calibri" w:cs="Calibri" w:eastAsia="Calibri" w:hAnsi="Calibri"/>
          <w:sz w:val="22"/>
          <w:szCs w:val="22"/>
          <w:color w:val="auto"/>
        </w:rPr>
        <w:t>*</w:t>
      </w:r>
      <w:r>
        <w:rPr>
          <w:rFonts w:ascii="Calibri" w:cs="Calibri" w:eastAsia="Calibri" w:hAnsi="Calibri"/>
          <w:sz w:val="17"/>
          <w:szCs w:val="17"/>
          <w:color w:val="auto"/>
        </w:rPr>
        <w:t>Percentage earned modifer is subject to linear interpolaton for performance between 25</w:t>
      </w:r>
      <w:r>
        <w:rPr>
          <w:rFonts w:ascii="Calibri" w:cs="Calibri" w:eastAsia="Calibri" w:hAnsi="Calibri"/>
          <w:sz w:val="22"/>
          <w:szCs w:val="22"/>
          <w:color w:val="auto"/>
          <w:vertAlign w:val="superscript"/>
        </w:rPr>
        <w:t>th</w:t>
      </w:r>
      <w:r>
        <w:rPr>
          <w:rFonts w:ascii="Calibri" w:cs="Calibri" w:eastAsia="Calibri" w:hAnsi="Calibri"/>
          <w:sz w:val="22"/>
          <w:szCs w:val="22"/>
          <w:color w:val="auto"/>
        </w:rPr>
        <w:t xml:space="preserve"> </w:t>
      </w:r>
      <w:r>
        <w:rPr>
          <w:rFonts w:ascii="Calibri" w:cs="Calibri" w:eastAsia="Calibri" w:hAnsi="Calibri"/>
          <w:sz w:val="17"/>
          <w:szCs w:val="17"/>
          <w:color w:val="auto"/>
        </w:rPr>
        <w:t>and 50</w:t>
      </w:r>
      <w:r>
        <w:rPr>
          <w:rFonts w:ascii="Calibri" w:cs="Calibri" w:eastAsia="Calibri" w:hAnsi="Calibri"/>
          <w:sz w:val="22"/>
          <w:szCs w:val="22"/>
          <w:color w:val="auto"/>
          <w:vertAlign w:val="superscript"/>
        </w:rPr>
        <w:t>th</w:t>
      </w:r>
      <w:r>
        <w:rPr>
          <w:rFonts w:ascii="Calibri" w:cs="Calibri" w:eastAsia="Calibri" w:hAnsi="Calibri"/>
          <w:sz w:val="22"/>
          <w:szCs w:val="22"/>
          <w:color w:val="auto"/>
        </w:rPr>
        <w:t xml:space="preserve"> </w:t>
      </w:r>
      <w:r>
        <w:rPr>
          <w:rFonts w:ascii="Calibri" w:cs="Calibri" w:eastAsia="Calibri" w:hAnsi="Calibri"/>
          <w:sz w:val="17"/>
          <w:szCs w:val="17"/>
          <w:color w:val="auto"/>
        </w:rPr>
        <w:t>percentles and between 50</w:t>
      </w:r>
      <w:r>
        <w:rPr>
          <w:rFonts w:ascii="Calibri" w:cs="Calibri" w:eastAsia="Calibri" w:hAnsi="Calibri"/>
          <w:sz w:val="22"/>
          <w:szCs w:val="22"/>
          <w:color w:val="auto"/>
          <w:vertAlign w:val="superscript"/>
        </w:rPr>
        <w:t>th</w:t>
      </w:r>
      <w:r>
        <w:rPr>
          <w:rFonts w:ascii="Calibri" w:cs="Calibri" w:eastAsia="Calibri" w:hAnsi="Calibri"/>
          <w:sz w:val="22"/>
          <w:szCs w:val="22"/>
          <w:color w:val="auto"/>
        </w:rPr>
        <w:t xml:space="preserve"> </w:t>
      </w:r>
      <w:r>
        <w:rPr>
          <w:rFonts w:ascii="Calibri" w:cs="Calibri" w:eastAsia="Calibri" w:hAnsi="Calibri"/>
          <w:sz w:val="17"/>
          <w:szCs w:val="17"/>
          <w:color w:val="auto"/>
        </w:rPr>
        <w:t>and 75</w:t>
      </w:r>
      <w:r>
        <w:rPr>
          <w:rFonts w:ascii="Calibri" w:cs="Calibri" w:eastAsia="Calibri" w:hAnsi="Calibri"/>
          <w:sz w:val="22"/>
          <w:szCs w:val="22"/>
          <w:color w:val="auto"/>
          <w:vertAlign w:val="superscript"/>
        </w:rPr>
        <w:t>th</w:t>
      </w:r>
      <w:r>
        <w:rPr>
          <w:rFonts w:ascii="Calibri" w:cs="Calibri" w:eastAsia="Calibri" w:hAnsi="Calibri"/>
          <w:sz w:val="22"/>
          <w:szCs w:val="22"/>
          <w:color w:val="auto"/>
        </w:rPr>
        <w:t xml:space="preserve"> </w:t>
      </w:r>
      <w:r>
        <w:rPr>
          <w:rFonts w:ascii="Calibri" w:cs="Calibri" w:eastAsia="Calibri" w:hAnsi="Calibri"/>
          <w:sz w:val="17"/>
          <w:szCs w:val="17"/>
          <w:color w:val="auto"/>
        </w:rPr>
        <w:t>percentles</w:t>
      </w:r>
      <w:r>
        <w:rPr>
          <w:rFonts w:ascii="Calibri" w:cs="Calibri" w:eastAsia="Calibri" w:hAnsi="Calibri"/>
          <w:sz w:val="22"/>
          <w:szCs w:val="22"/>
          <w:color w:val="auto"/>
        </w:rPr>
        <w:t>.</w:t>
      </w:r>
    </w:p>
    <w:p>
      <w:pPr>
        <w:spacing w:after="0" w:line="109" w:lineRule="exact"/>
        <w:rPr>
          <w:sz w:val="20"/>
          <w:szCs w:val="20"/>
          <w:color w:val="auto"/>
        </w:rPr>
      </w:pPr>
    </w:p>
    <w:p>
      <w:pPr>
        <w:spacing w:after="0" w:line="229" w:lineRule="auto"/>
        <w:rPr>
          <w:sz w:val="20"/>
          <w:szCs w:val="20"/>
          <w:color w:val="auto"/>
        </w:rPr>
      </w:pPr>
      <w:r>
        <w:rPr>
          <w:rFonts w:ascii="Calibri" w:cs="Calibri" w:eastAsia="Calibri" w:hAnsi="Calibri"/>
          <w:sz w:val="22"/>
          <w:szCs w:val="22"/>
          <w:color w:val="auto"/>
        </w:rPr>
        <w:t>The percentle rank above shall be calculated using the Microsof Excel functon PERCENTRANK.EXC. In no event will the percentage of LTIP units to be earned pursuant to this Sectons 4(e) exceed 225%.</w:t>
      </w:r>
    </w:p>
    <w:p>
      <w:pPr>
        <w:sectPr>
          <w:pgSz w:w="11900" w:h="16838" w:orient="portrait"/>
          <w:cols w:equalWidth="0" w:num="1">
            <w:col w:w="11240"/>
          </w:cols>
          <w:pgMar w:left="320" w:top="1407" w:right="339" w:bottom="1440" w:gutter="0" w:footer="0" w:header="0"/>
        </w:sectPr>
      </w:pPr>
    </w:p>
    <w:bookmarkStart w:id="140" w:name="page141"/>
    <w:bookmarkEnd w:id="140"/>
    <w:p>
      <w:pPr>
        <w:jc w:val="both"/>
        <w:ind w:firstLine="648"/>
        <w:spacing w:after="0" w:line="230" w:lineRule="auto"/>
        <w:rPr>
          <w:sz w:val="20"/>
          <w:szCs w:val="20"/>
          <w:color w:val="auto"/>
        </w:rPr>
      </w:pPr>
      <w:r>
        <w:rPr>
          <w:rFonts w:ascii="Calibri" w:cs="Calibri" w:eastAsia="Calibri" w:hAnsi="Calibri"/>
          <w:sz w:val="22"/>
          <w:szCs w:val="22"/>
          <w:color w:val="auto"/>
        </w:rPr>
        <w:t xml:space="preserve">Subject to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hereof, vestng of the Grantee’s 2024 LTIP Units (PB) shall occur as of the last day of the Cumulatve Performance Period, provided that the Contnuous Service of the Grantee contnues through the last day of the Cumulatve Performance Period, regardless of when the Commitee completes its determinaton of the Company’s [performance metrics], Total Return, percentle rank or any other calculatons or assessments related to its determinaton of the vestng percentage. If, afer giving efect to the Absolute TSR Cap and the Relatve TSR Modifer, the percentage of the Grantee’s 2024 LTIP Unit (PB) that will become vested as of the end of the Cumulatve Performance Period exceeds 100%, then 2024-2 LTIP Units (PB) shall be granted and issued as of the vestng date pursuant to </w:t>
      </w:r>
      <w:r>
        <w:rPr>
          <w:rFonts w:ascii="Calibri" w:cs="Calibri" w:eastAsia="Calibri" w:hAnsi="Calibri"/>
          <w:sz w:val="22"/>
          <w:szCs w:val="22"/>
          <w:u w:val="single" w:color="auto"/>
          <w:color w:val="auto"/>
        </w:rPr>
        <w:t>Secton 3(b)</w:t>
      </w:r>
      <w:r>
        <w:rPr>
          <w:rFonts w:ascii="Calibri" w:cs="Calibri" w:eastAsia="Calibri" w:hAnsi="Calibri"/>
          <w:sz w:val="22"/>
          <w:szCs w:val="22"/>
          <w:color w:val="auto"/>
        </w:rPr>
        <w:t xml:space="preserve"> above shall be immediately vested upon such grant and issuance.</w:t>
      </w:r>
    </w:p>
    <w:p>
      <w:pPr>
        <w:spacing w:after="0" w:line="236"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For the avoidance of doubt, assuming no Change of Control (</w:t>
      </w:r>
      <w:r>
        <w:rPr>
          <w:rFonts w:ascii="Calibri" w:cs="Calibri" w:eastAsia="Calibri" w:hAnsi="Calibri"/>
          <w:sz w:val="22"/>
          <w:szCs w:val="22"/>
          <w:i w:val="1"/>
          <w:iCs w:val="1"/>
          <w:color w:val="auto"/>
        </w:rPr>
        <w:t>i.e.</w:t>
      </w:r>
      <w:r>
        <w:rPr>
          <w:rFonts w:ascii="Calibri" w:cs="Calibri" w:eastAsia="Calibri" w:hAnsi="Calibri"/>
          <w:sz w:val="22"/>
          <w:szCs w:val="22"/>
          <w:color w:val="auto"/>
        </w:rPr>
        <w:t xml:space="preserve">, the last day of the Cumulatve Performance Period is December 31, 2026), the intent of this </w:t>
      </w:r>
      <w:r>
        <w:rPr>
          <w:rFonts w:ascii="Calibri" w:cs="Calibri" w:eastAsia="Calibri" w:hAnsi="Calibri"/>
          <w:sz w:val="22"/>
          <w:szCs w:val="22"/>
          <w:u w:val="single" w:color="auto"/>
          <w:color w:val="auto"/>
        </w:rPr>
        <w:t>Secton 4(e)</w:t>
      </w:r>
      <w:r>
        <w:rPr>
          <w:rFonts w:ascii="Calibri" w:cs="Calibri" w:eastAsia="Calibri" w:hAnsi="Calibri"/>
          <w:sz w:val="22"/>
          <w:szCs w:val="22"/>
          <w:color w:val="auto"/>
        </w:rPr>
        <w:t xml:space="preserve"> is that (i) the Company’s Total Return will be calculated using as the frst input the Share Price on December 31, 2023 and as the last input the Share Price on December 31, 2026, and (ii) each Peer REIT’s Total Return will be calculated in the same manner with respect to the common equity of each such Peer REIT.</w:t>
      </w:r>
    </w:p>
    <w:p>
      <w:pPr>
        <w:spacing w:after="0" w:line="217" w:lineRule="exact"/>
        <w:rPr>
          <w:sz w:val="20"/>
          <w:szCs w:val="20"/>
          <w:color w:val="auto"/>
        </w:rPr>
      </w:pPr>
    </w:p>
    <w:p>
      <w:pPr>
        <w:jc w:val="both"/>
        <w:ind w:firstLine="1304"/>
        <w:spacing w:after="0" w:line="242" w:lineRule="auto"/>
        <w:tabs>
          <w:tab w:leader="none" w:pos="1939" w:val="left"/>
        </w:tabs>
        <w:numPr>
          <w:ilvl w:val="0"/>
          <w:numId w:val="158"/>
        </w:numPr>
        <w:rPr>
          <w:rFonts w:ascii="Calibri" w:cs="Calibri" w:eastAsia="Calibri" w:hAnsi="Calibri"/>
          <w:sz w:val="21"/>
          <w:szCs w:val="21"/>
          <w:color w:val="010000"/>
        </w:rPr>
      </w:pPr>
      <w:r>
        <w:rPr>
          <w:rFonts w:ascii="Calibri" w:cs="Calibri" w:eastAsia="Calibri" w:hAnsi="Calibri"/>
          <w:sz w:val="21"/>
          <w:szCs w:val="21"/>
          <w:color w:val="auto"/>
        </w:rPr>
        <w:t xml:space="preserve">The Commitee may, upon consideraton of the Company’s [performance metrics] and the statstcal data for the Peer REITs relatve to Peer REIT Total Return for the Cumulatve Performance Period, exercise its reasonable discreton to allow for vestng of 2024 LTIP Units (PB) under </w:t>
      </w:r>
      <w:r>
        <w:rPr>
          <w:rFonts w:ascii="Calibri" w:cs="Calibri" w:eastAsia="Calibri" w:hAnsi="Calibri"/>
          <w:sz w:val="21"/>
          <w:szCs w:val="21"/>
          <w:u w:val="single" w:color="auto"/>
          <w:color w:val="auto"/>
        </w:rPr>
        <w:t>Sectons 4(b)</w:t>
      </w:r>
      <w:r>
        <w:rPr>
          <w:rFonts w:ascii="Calibri" w:cs="Calibri" w:eastAsia="Calibri" w:hAnsi="Calibri"/>
          <w:sz w:val="21"/>
          <w:szCs w:val="21"/>
          <w:color w:val="auto"/>
        </w:rPr>
        <w:t xml:space="preserve">, </w:t>
      </w:r>
      <w:r>
        <w:rPr>
          <w:rFonts w:ascii="Calibri" w:cs="Calibri" w:eastAsia="Calibri" w:hAnsi="Calibri"/>
          <w:sz w:val="21"/>
          <w:szCs w:val="21"/>
          <w:u w:val="single" w:color="auto"/>
          <w:color w:val="auto"/>
        </w:rPr>
        <w:t>(c)</w:t>
      </w:r>
      <w:r>
        <w:rPr>
          <w:rFonts w:ascii="Calibri" w:cs="Calibri" w:eastAsia="Calibri" w:hAnsi="Calibri"/>
          <w:sz w:val="21"/>
          <w:szCs w:val="21"/>
          <w:color w:val="auto"/>
        </w:rPr>
        <w:t xml:space="preserve">and </w:t>
      </w:r>
      <w:r>
        <w:rPr>
          <w:rFonts w:ascii="Calibri" w:cs="Calibri" w:eastAsia="Calibri" w:hAnsi="Calibri"/>
          <w:sz w:val="21"/>
          <w:szCs w:val="21"/>
          <w:u w:val="single" w:color="auto"/>
          <w:color w:val="auto"/>
        </w:rPr>
        <w:t>(e)</w:t>
      </w:r>
      <w:r>
        <w:rPr>
          <w:rFonts w:ascii="Calibri" w:cs="Calibri" w:eastAsia="Calibri" w:hAnsi="Calibri"/>
          <w:sz w:val="21"/>
          <w:szCs w:val="21"/>
          <w:color w:val="auto"/>
        </w:rPr>
        <w:t xml:space="preserve"> above on a basis other than strict mathematcal calculatons to the extent appropriate in light of the circumstances. By way of illustraton, the foregoing would allow the Commitee to provide for vestng to occur at a partcular level if the Peer REIT Total Return of a number of Peer REITs is clustered within a narrow range such that the efect of the precise calculaton of percentle rank would be that vestng would not occur or occur at a lower level. The Commitee does not have the discreton to adjust downward the vestng of 2024 LTIP Units (PB).</w:t>
      </w:r>
    </w:p>
    <w:p>
      <w:pPr>
        <w:spacing w:after="0" w:line="229" w:lineRule="exact"/>
        <w:rPr>
          <w:rFonts w:ascii="Calibri" w:cs="Calibri" w:eastAsia="Calibri" w:hAnsi="Calibri"/>
          <w:sz w:val="21"/>
          <w:szCs w:val="21"/>
          <w:color w:val="010000"/>
        </w:rPr>
      </w:pPr>
    </w:p>
    <w:p>
      <w:pPr>
        <w:jc w:val="both"/>
        <w:ind w:firstLine="1304"/>
        <w:spacing w:after="0" w:line="231" w:lineRule="auto"/>
        <w:tabs>
          <w:tab w:leader="none" w:pos="1941" w:val="left"/>
        </w:tabs>
        <w:numPr>
          <w:ilvl w:val="0"/>
          <w:numId w:val="158"/>
        </w:numPr>
        <w:rPr>
          <w:rFonts w:ascii="Calibri" w:cs="Calibri" w:eastAsia="Calibri" w:hAnsi="Calibri"/>
          <w:sz w:val="22"/>
          <w:szCs w:val="22"/>
          <w:color w:val="010000"/>
        </w:rPr>
      </w:pPr>
      <w:r>
        <w:rPr>
          <w:rFonts w:ascii="Calibri" w:cs="Calibri" w:eastAsia="Calibri" w:hAnsi="Calibri"/>
          <w:sz w:val="22"/>
          <w:szCs w:val="22"/>
          <w:color w:val="auto"/>
        </w:rPr>
        <w:t xml:space="preserve">The Grantee agrees to provide Contnuous Service to the Company in consideraton for the conditonal rights to the unvested 2024 LTIP Units (PB). Except as otherwise provided in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or pursuant to the Stock Plan, the vestng of the 2024 LTIP Units (PB) requires Contnuous Service through the last day of the Cumulatve Performance Period as a conditon to the vestng of the 2024 LTIP Units (PB). Partal service, even if substantal, during any vestng period will not enttle the Grantee to any proportonate vestng or avoid or mitgate a terminaton of rights and benefts upon or following a terminaton of employment or service except as provided in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below or under the Stock Plan.</w:t>
      </w:r>
    </w:p>
    <w:p>
      <w:pPr>
        <w:spacing w:after="0" w:line="217" w:lineRule="exact"/>
        <w:rPr>
          <w:rFonts w:ascii="Calibri" w:cs="Calibri" w:eastAsia="Calibri" w:hAnsi="Calibri"/>
          <w:sz w:val="22"/>
          <w:szCs w:val="22"/>
          <w:color w:val="010000"/>
        </w:rPr>
      </w:pPr>
    </w:p>
    <w:p>
      <w:pPr>
        <w:jc w:val="both"/>
        <w:ind w:firstLine="1304"/>
        <w:spacing w:after="0" w:line="229" w:lineRule="auto"/>
        <w:tabs>
          <w:tab w:leader="none" w:pos="1935" w:val="left"/>
        </w:tabs>
        <w:numPr>
          <w:ilvl w:val="0"/>
          <w:numId w:val="158"/>
        </w:numPr>
        <w:rPr>
          <w:rFonts w:ascii="Calibri" w:cs="Calibri" w:eastAsia="Calibri" w:hAnsi="Calibri"/>
          <w:sz w:val="22"/>
          <w:szCs w:val="22"/>
          <w:color w:val="010000"/>
        </w:rPr>
      </w:pPr>
      <w:r>
        <w:rPr>
          <w:rFonts w:ascii="Calibri" w:cs="Calibri" w:eastAsia="Calibri" w:hAnsi="Calibri"/>
          <w:sz w:val="22"/>
          <w:szCs w:val="22"/>
          <w:color w:val="auto"/>
        </w:rPr>
        <w:t xml:space="preserve">Any 2024 LTIP Units (PB) that do not become vested pursuant to this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below shall, without payment of any consideraton by the Partnership, automatcally and without notce terminate, be forfeited and be and become null and void as of the end of the Cumulatve Performance Period, and neither the Grantee nor any of his or her successors, heirs, assigns, or personal representatves will thereafer have any further rights or interests in such unvested 2024 LTIP Units (PB).</w:t>
      </w:r>
    </w:p>
    <w:p>
      <w:pPr>
        <w:sectPr>
          <w:pgSz w:w="11900" w:h="16838" w:orient="portrait"/>
          <w:cols w:equalWidth="0" w:num="1">
            <w:col w:w="11240"/>
          </w:cols>
          <w:pgMar w:left="320" w:top="1407" w:right="339" w:bottom="1440" w:gutter="0" w:footer="0" w:header="0"/>
        </w:sectPr>
      </w:pPr>
    </w:p>
    <w:bookmarkStart w:id="141" w:name="page142"/>
    <w:bookmarkEnd w:id="141"/>
    <w:p>
      <w:pPr>
        <w:ind w:left="644" w:hanging="644"/>
        <w:spacing w:after="0"/>
        <w:tabs>
          <w:tab w:leader="none" w:pos="644" w:val="left"/>
        </w:tabs>
        <w:numPr>
          <w:ilvl w:val="0"/>
          <w:numId w:val="159"/>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Change of Control or Terminaton of Grantee’s Service Relatonship</w:t>
      </w:r>
      <w:r>
        <w:rPr>
          <w:rFonts w:ascii="Calibri" w:cs="Calibri" w:eastAsia="Calibri" w:hAnsi="Calibri"/>
          <w:sz w:val="22"/>
          <w:szCs w:val="22"/>
          <w:color w:val="auto"/>
        </w:rPr>
        <w:t>.</w:t>
      </w:r>
    </w:p>
    <w:p>
      <w:pPr>
        <w:spacing w:after="0" w:line="214" w:lineRule="exact"/>
        <w:rPr>
          <w:rFonts w:ascii="Calibri" w:cs="Calibri" w:eastAsia="Calibri" w:hAnsi="Calibri"/>
          <w:sz w:val="22"/>
          <w:szCs w:val="22"/>
          <w:color w:val="010000"/>
        </w:rPr>
      </w:pPr>
    </w:p>
    <w:p>
      <w:pPr>
        <w:jc w:val="both"/>
        <w:ind w:left="-656" w:firstLine="1304"/>
        <w:spacing w:after="0" w:line="231" w:lineRule="auto"/>
        <w:tabs>
          <w:tab w:leader="none" w:pos="1279" w:val="left"/>
        </w:tabs>
        <w:numPr>
          <w:ilvl w:val="1"/>
          <w:numId w:val="159"/>
        </w:numPr>
        <w:rPr>
          <w:rFonts w:ascii="Calibri" w:cs="Calibri" w:eastAsia="Calibri" w:hAnsi="Calibri"/>
          <w:sz w:val="22"/>
          <w:szCs w:val="22"/>
          <w:color w:val="010000"/>
        </w:rPr>
      </w:pPr>
      <w:r>
        <w:rPr>
          <w:rFonts w:ascii="Calibri" w:cs="Calibri" w:eastAsia="Calibri" w:hAnsi="Calibri"/>
          <w:sz w:val="22"/>
          <w:szCs w:val="22"/>
          <w:color w:val="auto"/>
        </w:rPr>
        <w:t xml:space="preserve">If the Grantee is a party to a Service Agreement, the provisions of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shall govern the vestng of the Grantee’s 2024 LTIP Units (PB) exclusively in the event of a Change of Control or terminaton of the Grantee’s service relatonship with the Company or any Subsidiary or afliate, unless the Service Agreement contains provisions that expressly refer to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and provides that those provisions of the Service Agreement or the Severance Arrangement shall instead govern the vestng of the Grantee’s 2024 LTIP Units (PB). The foregoing sentence will be deemed an amendment to any applicable Service Agreement to the extent required to apply its terms consistently with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such that, by way of illustraton, any provisions of the Service Agreement with respect to accelerated vestng or payout of the Grantee’s bonus or incentve compensaton awards in the event of certain types of terminatons of Grantee’s service relatonship (such as, for example, terminaton at the end of the term, terminaton without Cause by the employer or terminaton for Good Reason by the employee) shall not (unless the Service Agreement contains provisions that expressly refer to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and provides that those provisions of the Service Agreement shall instead govern the vestng of the Grantee’s 2024 LTIP Units (PB)) be interpreted as requiring that any calculatons set forth in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hereof be performed, or vestng occur with respect to this Award other than as specifcally provided in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In the event an entty ceases to be a Subsidiary or afliate of the Company, such acton shall be deemed to be a terminaton of employment of all employees of that entty for purposes of this Agreement resultng in any then unvested 2024 LTIP Units (PB), without payment of any consideraton by the Partnership, being automatcally and without notce forfeited;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the Commitee, in its sole and absolute discreton, may make provision in such circumstances for accelerated vestng of some or all of the Grantee’s remaining unvested 2024 LTIP Units (PB) that have not previously been forfeited and, if applicable, for the grantng of 2024-2 LTIP Units (PB) efectve immediately prior to such event.</w:t>
      </w:r>
    </w:p>
    <w:p>
      <w:pPr>
        <w:spacing w:after="0" w:line="221" w:lineRule="exact"/>
        <w:rPr>
          <w:rFonts w:ascii="Calibri" w:cs="Calibri" w:eastAsia="Calibri" w:hAnsi="Calibri"/>
          <w:sz w:val="22"/>
          <w:szCs w:val="22"/>
          <w:color w:val="010000"/>
        </w:rPr>
      </w:pPr>
    </w:p>
    <w:p>
      <w:pPr>
        <w:ind w:left="1284" w:hanging="636"/>
        <w:spacing w:after="0"/>
        <w:tabs>
          <w:tab w:leader="none" w:pos="1284" w:val="left"/>
        </w:tabs>
        <w:numPr>
          <w:ilvl w:val="1"/>
          <w:numId w:val="159"/>
        </w:numPr>
        <w:rPr>
          <w:rFonts w:ascii="Calibri" w:cs="Calibri" w:eastAsia="Calibri" w:hAnsi="Calibri"/>
          <w:sz w:val="22"/>
          <w:szCs w:val="22"/>
          <w:color w:val="010000"/>
        </w:rPr>
      </w:pPr>
      <w:r>
        <w:rPr>
          <w:rFonts w:ascii="Calibri" w:cs="Calibri" w:eastAsia="Calibri" w:hAnsi="Calibri"/>
          <w:sz w:val="22"/>
          <w:szCs w:val="22"/>
          <w:color w:val="auto"/>
        </w:rPr>
        <w:t>In the event of a Change of Control prior to December 31, 2026, then:</w:t>
      </w:r>
    </w:p>
    <w:p>
      <w:pPr>
        <w:spacing w:after="0" w:line="214" w:lineRule="exact"/>
        <w:rPr>
          <w:rFonts w:ascii="Calibri" w:cs="Calibri" w:eastAsia="Calibri" w:hAnsi="Calibri"/>
          <w:sz w:val="22"/>
          <w:szCs w:val="22"/>
          <w:color w:val="010000"/>
        </w:rPr>
      </w:pPr>
    </w:p>
    <w:p>
      <w:pPr>
        <w:jc w:val="both"/>
        <w:ind w:left="4" w:right="20" w:firstLine="1292"/>
        <w:spacing w:after="0" w:line="231" w:lineRule="auto"/>
        <w:tabs>
          <w:tab w:leader="none" w:pos="1940" w:val="left"/>
        </w:tabs>
        <w:numPr>
          <w:ilvl w:val="2"/>
          <w:numId w:val="159"/>
        </w:numPr>
        <w:rPr>
          <w:rFonts w:ascii="Calibri" w:cs="Calibri" w:eastAsia="Calibri" w:hAnsi="Calibri"/>
          <w:sz w:val="22"/>
          <w:szCs w:val="22"/>
          <w:color w:val="010000"/>
        </w:rPr>
      </w:pPr>
      <w:r>
        <w:rPr>
          <w:rFonts w:ascii="Calibri" w:cs="Calibri" w:eastAsia="Calibri" w:hAnsi="Calibri"/>
          <w:sz w:val="22"/>
          <w:szCs w:val="22"/>
          <w:color w:val="auto"/>
        </w:rPr>
        <w:t xml:space="preserve">the Cumulatve Performance Period, and any of the 2024 Performance Period, 2025 Performance Period and 2026 Performance Period that had not previously concluded in the absence of the Change of Control shall end on such date and the calculatons provided in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hereof shall be performed efectve as of the date of the Change of Control and following the date of the Change of Control no further calculatons pursuant to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hereof shall be performed with respect to the Grantee; and</w:t>
      </w:r>
    </w:p>
    <w:p>
      <w:pPr>
        <w:spacing w:after="0" w:line="219" w:lineRule="exact"/>
        <w:rPr>
          <w:rFonts w:ascii="Calibri" w:cs="Calibri" w:eastAsia="Calibri" w:hAnsi="Calibri"/>
          <w:sz w:val="22"/>
          <w:szCs w:val="22"/>
          <w:color w:val="010000"/>
        </w:rPr>
      </w:pPr>
    </w:p>
    <w:p>
      <w:pPr>
        <w:jc w:val="both"/>
        <w:ind w:left="4" w:firstLine="1292"/>
        <w:spacing w:after="0" w:line="231" w:lineRule="auto"/>
        <w:tabs>
          <w:tab w:leader="none" w:pos="1935" w:val="left"/>
        </w:tabs>
        <w:numPr>
          <w:ilvl w:val="2"/>
          <w:numId w:val="159"/>
        </w:numPr>
        <w:rPr>
          <w:rFonts w:ascii="Calibri" w:cs="Calibri" w:eastAsia="Calibri" w:hAnsi="Calibri"/>
          <w:sz w:val="22"/>
          <w:szCs w:val="22"/>
          <w:color w:val="010000"/>
        </w:rPr>
      </w:pPr>
      <w:r>
        <w:rPr>
          <w:rFonts w:ascii="Calibri" w:cs="Calibri" w:eastAsia="Calibri" w:hAnsi="Calibri"/>
          <w:sz w:val="22"/>
          <w:szCs w:val="22"/>
          <w:color w:val="auto"/>
        </w:rPr>
        <w:t xml:space="preserve">if the 2024 LTIP Units (PB) remain outstanding afer a Change of Control or equivalent replacement awards (as defned in </w:t>
      </w:r>
      <w:r>
        <w:rPr>
          <w:rFonts w:ascii="Calibri" w:cs="Calibri" w:eastAsia="Calibri" w:hAnsi="Calibri"/>
          <w:sz w:val="22"/>
          <w:szCs w:val="22"/>
          <w:u w:val="single" w:color="auto"/>
          <w:color w:val="auto"/>
        </w:rPr>
        <w:t>Secton 5(b)(iv)</w:t>
      </w:r>
      <w:r>
        <w:rPr>
          <w:rFonts w:ascii="Calibri" w:cs="Calibri" w:eastAsia="Calibri" w:hAnsi="Calibri"/>
          <w:sz w:val="22"/>
          <w:szCs w:val="22"/>
          <w:color w:val="auto"/>
        </w:rPr>
        <w:t xml:space="preserve"> hereof) are substtuted for the 2024 LTIP Units (PB) at the tme of the Change of Control, then the number of 2024 LTIP Units (PB) that are determined as of the date of the Change of Control pursuant to the calculatons provided in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shall remain subject to vestng ted to the Grantee’s Contnuous Service untl December 31, 2026 as if no Change of Control had occurred, except that the Grantee shall become fully vested in such 2024</w:t>
      </w:r>
    </w:p>
    <w:p>
      <w:pPr>
        <w:sectPr>
          <w:pgSz w:w="11900" w:h="16838" w:orient="portrait"/>
          <w:cols w:equalWidth="0" w:num="1">
            <w:col w:w="10584"/>
          </w:cols>
          <w:pgMar w:left="976" w:top="1396" w:right="339" w:bottom="1440" w:gutter="0" w:footer="0" w:header="0"/>
        </w:sectPr>
      </w:pPr>
    </w:p>
    <w:bookmarkStart w:id="142" w:name="page143"/>
    <w:bookmarkEnd w:id="142"/>
    <w:p>
      <w:pPr>
        <w:ind w:right="20"/>
        <w:spacing w:after="0" w:line="229" w:lineRule="auto"/>
        <w:rPr>
          <w:sz w:val="20"/>
          <w:szCs w:val="20"/>
          <w:color w:val="auto"/>
        </w:rPr>
      </w:pPr>
      <w:r>
        <w:rPr>
          <w:rFonts w:ascii="Calibri" w:cs="Calibri" w:eastAsia="Calibri" w:hAnsi="Calibri"/>
          <w:sz w:val="22"/>
          <w:szCs w:val="22"/>
          <w:color w:val="auto"/>
        </w:rPr>
        <w:t>LTIP Units (PB) immediately (A) upon the Grantee’s Qualifed Terminaton in connecton with or within twenty-four (24) months afer the Change of Control, or (B) upon the Grantee’s death, Disability or Retrement;</w:t>
      </w:r>
    </w:p>
    <w:p>
      <w:pPr>
        <w:spacing w:after="0" w:line="217" w:lineRule="exact"/>
        <w:rPr>
          <w:sz w:val="20"/>
          <w:szCs w:val="20"/>
          <w:color w:val="auto"/>
        </w:rPr>
      </w:pPr>
    </w:p>
    <w:p>
      <w:pPr>
        <w:jc w:val="both"/>
        <w:ind w:firstLine="1292"/>
        <w:spacing w:after="0" w:line="232" w:lineRule="auto"/>
        <w:tabs>
          <w:tab w:leader="none" w:pos="1940" w:val="left"/>
        </w:tabs>
        <w:numPr>
          <w:ilvl w:val="1"/>
          <w:numId w:val="160"/>
        </w:numPr>
        <w:rPr>
          <w:rFonts w:ascii="Calibri" w:cs="Calibri" w:eastAsia="Calibri" w:hAnsi="Calibri"/>
          <w:sz w:val="22"/>
          <w:szCs w:val="22"/>
          <w:color w:val="010000"/>
        </w:rPr>
      </w:pPr>
      <w:r>
        <w:rPr>
          <w:rFonts w:ascii="Calibri" w:cs="Calibri" w:eastAsia="Calibri" w:hAnsi="Calibri"/>
          <w:sz w:val="22"/>
          <w:szCs w:val="22"/>
          <w:color w:val="auto"/>
        </w:rPr>
        <w:t xml:space="preserve">if neither the 2024 LTIP Units (PB) remain outstanding afer a Change of Control nor equivalent replacement awards (as defned in </w:t>
      </w:r>
      <w:r>
        <w:rPr>
          <w:rFonts w:ascii="Calibri" w:cs="Calibri" w:eastAsia="Calibri" w:hAnsi="Calibri"/>
          <w:sz w:val="22"/>
          <w:szCs w:val="22"/>
          <w:u w:val="single" w:color="auto"/>
          <w:color w:val="auto"/>
        </w:rPr>
        <w:t>Secton 5(b)(iv)</w:t>
      </w:r>
      <w:r>
        <w:rPr>
          <w:rFonts w:ascii="Calibri" w:cs="Calibri" w:eastAsia="Calibri" w:hAnsi="Calibri"/>
          <w:sz w:val="22"/>
          <w:szCs w:val="22"/>
          <w:color w:val="auto"/>
        </w:rPr>
        <w:t xml:space="preserve"> hereof) are substtuted for the 2024 LTIP Units (PB) at the tme of the Change of Control, then the Grantee shall become fully vested in the number of 2024 LTIP Units (PB) that are determined pursuant to the calculatons provided in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as of the date of the Change of Control; and</w:t>
      </w:r>
    </w:p>
    <w:p>
      <w:pPr>
        <w:spacing w:after="0" w:line="217" w:lineRule="exact"/>
        <w:rPr>
          <w:rFonts w:ascii="Calibri" w:cs="Calibri" w:eastAsia="Calibri" w:hAnsi="Calibri"/>
          <w:sz w:val="22"/>
          <w:szCs w:val="22"/>
          <w:color w:val="010000"/>
        </w:rPr>
      </w:pPr>
    </w:p>
    <w:p>
      <w:pPr>
        <w:ind w:firstLine="1292"/>
        <w:spacing w:after="0" w:line="229" w:lineRule="auto"/>
        <w:tabs>
          <w:tab w:leader="none" w:pos="1939" w:val="left"/>
        </w:tabs>
        <w:numPr>
          <w:ilvl w:val="1"/>
          <w:numId w:val="160"/>
        </w:numPr>
        <w:rPr>
          <w:rFonts w:ascii="Calibri" w:cs="Calibri" w:eastAsia="Calibri" w:hAnsi="Calibri"/>
          <w:sz w:val="22"/>
          <w:szCs w:val="22"/>
          <w:color w:val="010000"/>
        </w:rPr>
      </w:pPr>
      <w:r>
        <w:rPr>
          <w:rFonts w:ascii="Calibri" w:cs="Calibri" w:eastAsia="Calibri" w:hAnsi="Calibri"/>
          <w:sz w:val="22"/>
          <w:szCs w:val="22"/>
          <w:color w:val="auto"/>
        </w:rPr>
        <w:t>an award shall qualify as an “equivalent replacement award” if the following conditons are met in the good faith discreton of the Commitee:</w:t>
      </w:r>
    </w:p>
    <w:p>
      <w:pPr>
        <w:spacing w:after="0" w:line="230" w:lineRule="exact"/>
        <w:rPr>
          <w:rFonts w:ascii="Calibri" w:cs="Calibri" w:eastAsia="Calibri" w:hAnsi="Calibri"/>
          <w:sz w:val="22"/>
          <w:szCs w:val="22"/>
          <w:color w:val="010000"/>
        </w:rPr>
      </w:pPr>
    </w:p>
    <w:p>
      <w:pPr>
        <w:jc w:val="both"/>
        <w:ind w:left="640" w:firstLine="1300"/>
        <w:spacing w:after="0" w:line="229" w:lineRule="auto"/>
        <w:tabs>
          <w:tab w:leader="none" w:pos="2583" w:val="left"/>
        </w:tabs>
        <w:numPr>
          <w:ilvl w:val="2"/>
          <w:numId w:val="160"/>
        </w:numPr>
        <w:rPr>
          <w:rFonts w:ascii="Calibri" w:cs="Calibri" w:eastAsia="Calibri" w:hAnsi="Calibri"/>
          <w:sz w:val="22"/>
          <w:szCs w:val="22"/>
          <w:color w:val="010000"/>
        </w:rPr>
      </w:pPr>
      <w:r>
        <w:rPr>
          <w:rFonts w:ascii="Calibri" w:cs="Calibri" w:eastAsia="Calibri" w:hAnsi="Calibri"/>
          <w:sz w:val="22"/>
          <w:szCs w:val="22"/>
          <w:color w:val="auto"/>
        </w:rPr>
        <w:t>the replacement award is of the same type as the 2024 LTIP Units (PB) being replaced, including, without limitaton, income tax atributes relatng to the extent and tming of recogniton of taxable income, gain or loss by the Grantee;</w:t>
      </w:r>
    </w:p>
    <w:p>
      <w:pPr>
        <w:spacing w:after="0" w:line="216" w:lineRule="exact"/>
        <w:rPr>
          <w:rFonts w:ascii="Calibri" w:cs="Calibri" w:eastAsia="Calibri" w:hAnsi="Calibri"/>
          <w:sz w:val="22"/>
          <w:szCs w:val="22"/>
          <w:color w:val="010000"/>
        </w:rPr>
      </w:pPr>
    </w:p>
    <w:p>
      <w:pPr>
        <w:ind w:left="640" w:firstLine="1300"/>
        <w:spacing w:after="0" w:line="229" w:lineRule="auto"/>
        <w:tabs>
          <w:tab w:leader="none" w:pos="2576" w:val="left"/>
        </w:tabs>
        <w:numPr>
          <w:ilvl w:val="2"/>
          <w:numId w:val="160"/>
        </w:numPr>
        <w:rPr>
          <w:rFonts w:ascii="Calibri" w:cs="Calibri" w:eastAsia="Calibri" w:hAnsi="Calibri"/>
          <w:sz w:val="22"/>
          <w:szCs w:val="22"/>
          <w:color w:val="010000"/>
        </w:rPr>
      </w:pPr>
      <w:r>
        <w:rPr>
          <w:rFonts w:ascii="Calibri" w:cs="Calibri" w:eastAsia="Calibri" w:hAnsi="Calibri"/>
          <w:sz w:val="22"/>
          <w:szCs w:val="22"/>
          <w:color w:val="auto"/>
        </w:rPr>
        <w:t>the replacement award has a value equal to the Fair Market Value of the 2024 LTIP Units being replaced as of the efectve date of the Change of Control;</w:t>
      </w:r>
    </w:p>
    <w:p>
      <w:pPr>
        <w:spacing w:after="0" w:line="216" w:lineRule="exact"/>
        <w:rPr>
          <w:rFonts w:ascii="Calibri" w:cs="Calibri" w:eastAsia="Calibri" w:hAnsi="Calibri"/>
          <w:sz w:val="22"/>
          <w:szCs w:val="22"/>
          <w:color w:val="010000"/>
        </w:rPr>
      </w:pPr>
    </w:p>
    <w:p>
      <w:pPr>
        <w:jc w:val="both"/>
        <w:ind w:left="640" w:firstLine="1300"/>
        <w:spacing w:after="0" w:line="233" w:lineRule="auto"/>
        <w:tabs>
          <w:tab w:leader="none" w:pos="2574" w:val="left"/>
        </w:tabs>
        <w:numPr>
          <w:ilvl w:val="2"/>
          <w:numId w:val="160"/>
        </w:numPr>
        <w:rPr>
          <w:rFonts w:ascii="Calibri" w:cs="Calibri" w:eastAsia="Calibri" w:hAnsi="Calibri"/>
          <w:sz w:val="22"/>
          <w:szCs w:val="22"/>
          <w:color w:val="010000"/>
        </w:rPr>
      </w:pPr>
      <w:r>
        <w:rPr>
          <w:rFonts w:ascii="Calibri" w:cs="Calibri" w:eastAsia="Calibri" w:hAnsi="Calibri"/>
          <w:sz w:val="22"/>
          <w:szCs w:val="22"/>
          <w:color w:val="auto"/>
        </w:rPr>
        <w:t>the equity securites issuable upon the conversion, exercise, exchange or redempton of the replacement award, or securites underlying the replacement award, as applicable, are listed on a natonal stock exchange;</w:t>
      </w:r>
    </w:p>
    <w:p>
      <w:pPr>
        <w:spacing w:after="0" w:line="216" w:lineRule="exact"/>
        <w:rPr>
          <w:rFonts w:ascii="Calibri" w:cs="Calibri" w:eastAsia="Calibri" w:hAnsi="Calibri"/>
          <w:sz w:val="22"/>
          <w:szCs w:val="22"/>
          <w:color w:val="010000"/>
        </w:rPr>
      </w:pPr>
    </w:p>
    <w:p>
      <w:pPr>
        <w:jc w:val="both"/>
        <w:ind w:left="640" w:firstLine="1300"/>
        <w:spacing w:after="0" w:line="229" w:lineRule="auto"/>
        <w:tabs>
          <w:tab w:leader="none" w:pos="2578" w:val="left"/>
        </w:tabs>
        <w:numPr>
          <w:ilvl w:val="2"/>
          <w:numId w:val="160"/>
        </w:numPr>
        <w:rPr>
          <w:rFonts w:ascii="Calibri" w:cs="Calibri" w:eastAsia="Calibri" w:hAnsi="Calibri"/>
          <w:sz w:val="22"/>
          <w:szCs w:val="22"/>
          <w:color w:val="010000"/>
        </w:rPr>
      </w:pPr>
      <w:r>
        <w:rPr>
          <w:rFonts w:ascii="Calibri" w:cs="Calibri" w:eastAsia="Calibri" w:hAnsi="Calibri"/>
          <w:sz w:val="22"/>
          <w:szCs w:val="22"/>
          <w:color w:val="auto"/>
        </w:rPr>
        <w:t>the replacement award contains terms relatng to vestng (including with respect to the Grantee’s Qualifed Terminaton, death, Disability or Retrement) that are substantally identcal to those of the 2024 LTIP Units (PB); and</w:t>
      </w:r>
    </w:p>
    <w:p>
      <w:pPr>
        <w:spacing w:after="0" w:line="230" w:lineRule="exact"/>
        <w:rPr>
          <w:rFonts w:ascii="Calibri" w:cs="Calibri" w:eastAsia="Calibri" w:hAnsi="Calibri"/>
          <w:sz w:val="22"/>
          <w:szCs w:val="22"/>
          <w:color w:val="010000"/>
        </w:rPr>
      </w:pPr>
    </w:p>
    <w:p>
      <w:pPr>
        <w:ind w:left="640" w:right="20" w:firstLine="1300"/>
        <w:spacing w:after="0" w:line="229" w:lineRule="auto"/>
        <w:tabs>
          <w:tab w:leader="none" w:pos="2577" w:val="left"/>
        </w:tabs>
        <w:numPr>
          <w:ilvl w:val="2"/>
          <w:numId w:val="160"/>
        </w:numPr>
        <w:rPr>
          <w:rFonts w:ascii="Calibri" w:cs="Calibri" w:eastAsia="Calibri" w:hAnsi="Calibri"/>
          <w:sz w:val="22"/>
          <w:szCs w:val="22"/>
          <w:color w:val="010000"/>
        </w:rPr>
      </w:pPr>
      <w:r>
        <w:rPr>
          <w:rFonts w:ascii="Calibri" w:cs="Calibri" w:eastAsia="Calibri" w:hAnsi="Calibri"/>
          <w:sz w:val="22"/>
          <w:szCs w:val="22"/>
          <w:color w:val="auto"/>
        </w:rPr>
        <w:t>the other terms and conditons of the replacement award are not less favorable to the Grantee than the terms and conditons of the 2024 LTIP Units (PB).</w:t>
      </w:r>
    </w:p>
    <w:p>
      <w:pPr>
        <w:spacing w:after="0" w:line="216" w:lineRule="exact"/>
        <w:rPr>
          <w:rFonts w:ascii="Calibri" w:cs="Calibri" w:eastAsia="Calibri" w:hAnsi="Calibri"/>
          <w:sz w:val="22"/>
          <w:szCs w:val="22"/>
          <w:color w:val="010000"/>
        </w:rPr>
      </w:pPr>
    </w:p>
    <w:p>
      <w:pPr>
        <w:jc w:val="both"/>
        <w:ind w:left="-660" w:firstLine="1304"/>
        <w:spacing w:after="0" w:line="231" w:lineRule="auto"/>
        <w:tabs>
          <w:tab w:leader="none" w:pos="1277" w:val="left"/>
        </w:tabs>
        <w:numPr>
          <w:ilvl w:val="0"/>
          <w:numId w:val="161"/>
        </w:numPr>
        <w:rPr>
          <w:rFonts w:ascii="Calibri" w:cs="Calibri" w:eastAsia="Calibri" w:hAnsi="Calibri"/>
          <w:sz w:val="22"/>
          <w:szCs w:val="22"/>
          <w:color w:val="010000"/>
        </w:rPr>
      </w:pPr>
      <w:r>
        <w:rPr>
          <w:rFonts w:ascii="Calibri" w:cs="Calibri" w:eastAsia="Calibri" w:hAnsi="Calibri"/>
          <w:sz w:val="22"/>
          <w:szCs w:val="22"/>
          <w:color w:val="auto"/>
        </w:rPr>
        <w:t xml:space="preserve">Except as otherwise provided in </w:t>
      </w:r>
      <w:r>
        <w:rPr>
          <w:rFonts w:ascii="Calibri" w:cs="Calibri" w:eastAsia="Calibri" w:hAnsi="Calibri"/>
          <w:sz w:val="22"/>
          <w:szCs w:val="22"/>
          <w:u w:val="single" w:color="auto"/>
          <w:color w:val="auto"/>
        </w:rPr>
        <w:t>Secton 5(b)</w:t>
      </w:r>
      <w:r>
        <w:rPr>
          <w:rFonts w:ascii="Calibri" w:cs="Calibri" w:eastAsia="Calibri" w:hAnsi="Calibri"/>
          <w:sz w:val="22"/>
          <w:szCs w:val="22"/>
          <w:color w:val="auto"/>
        </w:rPr>
        <w:t xml:space="preserve">, in the event of the Grantee’s Qualifed Terminaton, death or Disability or Retrement (as applicable below) prior to the end of the Cumulatve Performance Period, conditoned (except in the case of death) upon the executon and delivery by the Grantee of a release of claims substantally in the form of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to the Severance Arrangement and the Grantee’s compliance with the restrictve covenants set forth in Secton 9 of the Grantee’s Service Agreement, the Grantee will not forfeit the 2024 LTIP Units (PB) upon such event, but the following provision shall modify the determinaton of vestng for the Grantee, subject, in each case, to the provisions of Sectons 6.4 and 6.5 of the Stock Plan: the calculatons provided in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hereof shall be performed as of</w:t>
      </w:r>
    </w:p>
    <w:p>
      <w:pPr>
        <w:sectPr>
          <w:pgSz w:w="11900" w:h="16838" w:orient="portrait"/>
          <w:cols w:equalWidth="0" w:num="1">
            <w:col w:w="10580"/>
          </w:cols>
          <w:pgMar w:left="980" w:top="1407" w:right="339" w:bottom="1440" w:gutter="0" w:footer="0" w:header="0"/>
        </w:sectPr>
      </w:pPr>
    </w:p>
    <w:bookmarkStart w:id="143" w:name="page144"/>
    <w:bookmarkEnd w:id="143"/>
    <w:p>
      <w:pPr>
        <w:jc w:val="both"/>
        <w:spacing w:after="0" w:line="232" w:lineRule="auto"/>
        <w:rPr>
          <w:sz w:val="20"/>
          <w:szCs w:val="20"/>
          <w:color w:val="auto"/>
        </w:rPr>
      </w:pPr>
      <w:r>
        <w:rPr>
          <w:rFonts w:ascii="Calibri" w:cs="Calibri" w:eastAsia="Calibri" w:hAnsi="Calibri"/>
          <w:sz w:val="22"/>
          <w:szCs w:val="22"/>
          <w:color w:val="auto"/>
        </w:rPr>
        <w:t>the end of the 2024 Performance Period, 2025 Performance Period, 2026 Performance Period and Cumulatve Performance Period, to the extent not previously calculated prior to such Qualifed Terminaton, death, Disability or Retrement, as if such Qualifed Terminaton, death, Disability or Retrement had not occurred, and such number of 2024 LTIP Units (PB) shall become vested.</w:t>
      </w:r>
    </w:p>
    <w:p>
      <w:pPr>
        <w:spacing w:after="0" w:line="217" w:lineRule="exact"/>
        <w:rPr>
          <w:sz w:val="20"/>
          <w:szCs w:val="20"/>
          <w:color w:val="auto"/>
        </w:rPr>
      </w:pPr>
    </w:p>
    <w:p>
      <w:pPr>
        <w:jc w:val="both"/>
        <w:ind w:firstLine="1304"/>
        <w:spacing w:after="0" w:line="230" w:lineRule="auto"/>
        <w:tabs>
          <w:tab w:leader="none" w:pos="1932" w:val="left"/>
        </w:tabs>
        <w:numPr>
          <w:ilvl w:val="1"/>
          <w:numId w:val="162"/>
        </w:numPr>
        <w:rPr>
          <w:rFonts w:ascii="Calibri" w:cs="Calibri" w:eastAsia="Calibri" w:hAnsi="Calibri"/>
          <w:sz w:val="22"/>
          <w:szCs w:val="22"/>
          <w:color w:val="010000"/>
        </w:rPr>
      </w:pPr>
      <w:r>
        <w:rPr>
          <w:rFonts w:ascii="Calibri" w:cs="Calibri" w:eastAsia="Calibri" w:hAnsi="Calibri"/>
          <w:sz w:val="22"/>
          <w:szCs w:val="22"/>
          <w:color w:val="auto"/>
        </w:rPr>
        <w:t xml:space="preserve">If the Grantee becomes engaged in Compettve Actvites at any tme on or following the efectve date of the Qualifed Terminaton or Retrement and before the end of the applicable Cumulatve Performance Period, then the provisions relatng to vestng due </w:t>
      </w:r>
      <w:r>
        <w:rPr>
          <w:rFonts w:ascii="Calibri" w:cs="Calibri" w:eastAsia="Calibri" w:hAnsi="Calibri"/>
          <w:sz w:val="22"/>
          <w:szCs w:val="22"/>
          <w:u w:val="single" w:color="auto"/>
          <w:color w:val="auto"/>
        </w:rPr>
        <w:t>Secton 5(c)</w:t>
      </w:r>
      <w:r>
        <w:rPr>
          <w:rFonts w:ascii="Calibri" w:cs="Calibri" w:eastAsia="Calibri" w:hAnsi="Calibri"/>
          <w:sz w:val="22"/>
          <w:szCs w:val="22"/>
          <w:color w:val="auto"/>
        </w:rPr>
        <w:t xml:space="preserve"> will not apply, and, upon the date the Grantee becomes engaged in any such Compettve Actvites during such period, all 2024 LTIP Units (PB), except for those that, prior to such engagement in Compettve Actvites, had previously been vested pursuant to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hereof during the Grantee’s Contnuous Service or that otherwise became vested under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shall automatcally and immediately be forfeited by the Grantee. Any forfeited 2024 LTIP Units (PB) shall, without payment of any consideraton by the Partnership, automatcally and without notce be and become null and void, and neither the Grantee nor any of his successors, heirs, assigns, or personal representatves will thereafer have any further rights or interests in such forfeited 2024 LTIP Units (PB).</w:t>
      </w:r>
    </w:p>
    <w:p>
      <w:pPr>
        <w:spacing w:after="0" w:line="221" w:lineRule="exact"/>
        <w:rPr>
          <w:rFonts w:ascii="Calibri" w:cs="Calibri" w:eastAsia="Calibri" w:hAnsi="Calibri"/>
          <w:sz w:val="22"/>
          <w:szCs w:val="22"/>
          <w:color w:val="010000"/>
        </w:rPr>
      </w:pPr>
    </w:p>
    <w:p>
      <w:pPr>
        <w:jc w:val="both"/>
        <w:ind w:firstLine="1304"/>
        <w:spacing w:after="0" w:line="232" w:lineRule="auto"/>
        <w:tabs>
          <w:tab w:leader="none" w:pos="1939" w:val="left"/>
        </w:tabs>
        <w:numPr>
          <w:ilvl w:val="1"/>
          <w:numId w:val="162"/>
        </w:numPr>
        <w:rPr>
          <w:rFonts w:ascii="Calibri" w:cs="Calibri" w:eastAsia="Calibri" w:hAnsi="Calibri"/>
          <w:sz w:val="22"/>
          <w:szCs w:val="22"/>
          <w:color w:val="010000"/>
        </w:rPr>
      </w:pPr>
      <w:r>
        <w:rPr>
          <w:rFonts w:ascii="Calibri" w:cs="Calibri" w:eastAsia="Calibri" w:hAnsi="Calibri"/>
          <w:sz w:val="22"/>
          <w:szCs w:val="22"/>
          <w:color w:val="auto"/>
        </w:rPr>
        <w:t xml:space="preserve">In the event of a terminaton of employment or other cessaton of the Grantee’s Contnuous Service prior to the end of the Cumulatve Performance Period, efectve as of the date of such terminaton or cessaton, all 2024 LTIP Units (PB) except for those that had previously vested pursuant to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hereof and those that otherwise become vested or will contnue to vest pursuant to this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shall automatcally and immediately be forfeited by the Grantee. Any forfeited 2024 LTIP Units (PB) shall, without payment of any consideraton by the Partnership, automatcally and without notce be and become null and void, and neither the Grantee nor any of his successors, heirs, assigns, or personal representatves will thereafer have any further rights or interests in such forfeited 2024 LTIP Units (PB).</w:t>
      </w:r>
    </w:p>
    <w:p>
      <w:pPr>
        <w:spacing w:after="0" w:line="221" w:lineRule="exact"/>
        <w:rPr>
          <w:rFonts w:ascii="Calibri" w:cs="Calibri" w:eastAsia="Calibri" w:hAnsi="Calibri"/>
          <w:sz w:val="22"/>
          <w:szCs w:val="22"/>
          <w:color w:val="010000"/>
        </w:rPr>
      </w:pPr>
    </w:p>
    <w:p>
      <w:pPr>
        <w:ind w:firstLine="656"/>
        <w:spacing w:after="0" w:line="229" w:lineRule="auto"/>
        <w:tabs>
          <w:tab w:leader="none" w:pos="1284" w:val="left"/>
        </w:tabs>
        <w:numPr>
          <w:ilvl w:val="0"/>
          <w:numId w:val="163"/>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Payments by Award Recipients</w:t>
      </w:r>
      <w:r>
        <w:rPr>
          <w:rFonts w:ascii="Calibri" w:cs="Calibri" w:eastAsia="Calibri" w:hAnsi="Calibri"/>
          <w:sz w:val="22"/>
          <w:szCs w:val="22"/>
          <w:color w:val="auto"/>
        </w:rPr>
        <w:t>. No amount shall be payable to the Company or the Partnership by the Grantee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at any tme in respect of this Award.</w:t>
      </w:r>
    </w:p>
    <w:p>
      <w:pPr>
        <w:spacing w:after="0" w:line="216" w:lineRule="exact"/>
        <w:rPr>
          <w:rFonts w:ascii="Calibri" w:cs="Calibri" w:eastAsia="Calibri" w:hAnsi="Calibri"/>
          <w:sz w:val="22"/>
          <w:szCs w:val="22"/>
          <w:color w:val="010000"/>
        </w:rPr>
      </w:pPr>
    </w:p>
    <w:p>
      <w:pPr>
        <w:ind w:right="20" w:firstLine="656"/>
        <w:spacing w:after="0" w:line="229" w:lineRule="auto"/>
        <w:tabs>
          <w:tab w:leader="none" w:pos="1284" w:val="left"/>
        </w:tabs>
        <w:numPr>
          <w:ilvl w:val="0"/>
          <w:numId w:val="163"/>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Distributons</w:t>
      </w:r>
      <w:r>
        <w:rPr>
          <w:rFonts w:ascii="Calibri" w:cs="Calibri" w:eastAsia="Calibri" w:hAnsi="Calibri"/>
          <w:sz w:val="22"/>
          <w:szCs w:val="22"/>
          <w:color w:val="auto"/>
        </w:rPr>
        <w:t>. Distributons on 2024 LTIP Units (PB) will be paid in accordance with the Partnership Agreement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modifed hereby as follows:</w:t>
      </w:r>
    </w:p>
    <w:p>
      <w:pPr>
        <w:spacing w:after="0" w:line="230" w:lineRule="exact"/>
        <w:rPr>
          <w:rFonts w:ascii="Calibri" w:cs="Calibri" w:eastAsia="Calibri" w:hAnsi="Calibri"/>
          <w:sz w:val="22"/>
          <w:szCs w:val="22"/>
          <w:color w:val="010000"/>
        </w:rPr>
      </w:pPr>
    </w:p>
    <w:p>
      <w:pPr>
        <w:jc w:val="both"/>
        <w:ind w:firstLine="1304"/>
        <w:spacing w:after="0" w:line="229" w:lineRule="auto"/>
        <w:tabs>
          <w:tab w:leader="none" w:pos="1935" w:val="left"/>
        </w:tabs>
        <w:numPr>
          <w:ilvl w:val="1"/>
          <w:numId w:val="163"/>
        </w:numPr>
        <w:rPr>
          <w:rFonts w:ascii="Calibri" w:cs="Calibri" w:eastAsia="Calibri" w:hAnsi="Calibri"/>
          <w:sz w:val="22"/>
          <w:szCs w:val="22"/>
          <w:color w:val="010000"/>
        </w:rPr>
      </w:pPr>
      <w:r>
        <w:rPr>
          <w:rFonts w:ascii="Calibri" w:cs="Calibri" w:eastAsia="Calibri" w:hAnsi="Calibri"/>
          <w:sz w:val="22"/>
          <w:szCs w:val="22"/>
          <w:color w:val="auto"/>
        </w:rPr>
        <w:t xml:space="preserve">The LTIP Unit Distributon Partcipaton Date (as defned in the Partnership Agreement) shall be (i) the date of grant, with respect to 10% of the 2024 LTIP Units (PB) issued pursuant to this Agreement, and (ii) the last day of the Cumulatve Performance Period, with respect to all other 2024 LTIP Units (PB) issued pursuant to this Agreement (to the extent they became vested in accordance with </w:t>
      </w:r>
      <w:r>
        <w:rPr>
          <w:rFonts w:ascii="Calibri" w:cs="Calibri" w:eastAsia="Calibri" w:hAnsi="Calibri"/>
          <w:sz w:val="22"/>
          <w:szCs w:val="22"/>
          <w:u w:val="single" w:color="auto"/>
          <w:color w:val="auto"/>
        </w:rPr>
        <w:t>Sectons 4</w:t>
      </w:r>
      <w:r>
        <w:rPr>
          <w:rFonts w:ascii="Calibri" w:cs="Calibri" w:eastAsia="Calibri" w:hAnsi="Calibri"/>
          <w:sz w:val="22"/>
          <w:szCs w:val="22"/>
          <w:color w:val="auto"/>
        </w:rPr>
        <w:t xml:space="preserve"> and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hereof). Vested 2024 LTIP Units (PB) shall be enttled to receive the full distributon payable on Units outstanding as of the record date next following the last day of the Cumulatve Performance Period, whether or not they will have been outstanding for the whole period.</w:t>
      </w:r>
    </w:p>
    <w:p>
      <w:pPr>
        <w:spacing w:after="0" w:line="231" w:lineRule="exact"/>
        <w:rPr>
          <w:rFonts w:ascii="Calibri" w:cs="Calibri" w:eastAsia="Calibri" w:hAnsi="Calibri"/>
          <w:sz w:val="22"/>
          <w:szCs w:val="22"/>
          <w:color w:val="010000"/>
        </w:rPr>
      </w:pPr>
    </w:p>
    <w:p>
      <w:pPr>
        <w:ind w:firstLine="1304"/>
        <w:spacing w:after="0" w:line="229" w:lineRule="auto"/>
        <w:tabs>
          <w:tab w:leader="none" w:pos="1932" w:val="left"/>
        </w:tabs>
        <w:numPr>
          <w:ilvl w:val="1"/>
          <w:numId w:val="163"/>
        </w:numPr>
        <w:rPr>
          <w:rFonts w:ascii="Calibri" w:cs="Calibri" w:eastAsia="Calibri" w:hAnsi="Calibri"/>
          <w:sz w:val="22"/>
          <w:szCs w:val="22"/>
          <w:color w:val="010000"/>
        </w:rPr>
      </w:pPr>
      <w:r>
        <w:rPr>
          <w:rFonts w:ascii="Calibri" w:cs="Calibri" w:eastAsia="Calibri" w:hAnsi="Calibri"/>
          <w:sz w:val="22"/>
          <w:szCs w:val="22"/>
          <w:color w:val="auto"/>
        </w:rPr>
        <w:t xml:space="preserve">Prior to the last day of the Cumulatve Performance Period, 2024 LTIP Units (PB) not otherwise forfeited in accordance with </w:t>
      </w:r>
      <w:r>
        <w:rPr>
          <w:rFonts w:ascii="Calibri" w:cs="Calibri" w:eastAsia="Calibri" w:hAnsi="Calibri"/>
          <w:sz w:val="22"/>
          <w:szCs w:val="22"/>
          <w:u w:val="single" w:color="auto"/>
          <w:color w:val="auto"/>
        </w:rPr>
        <w:t>Sectons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hereof shall be enttled to</w:t>
      </w:r>
    </w:p>
    <w:p>
      <w:pPr>
        <w:sectPr>
          <w:pgSz w:w="11900" w:h="16838" w:orient="portrait"/>
          <w:cols w:equalWidth="0" w:num="1">
            <w:col w:w="11240"/>
          </w:cols>
          <w:pgMar w:left="320" w:top="1407" w:right="339" w:bottom="1440" w:gutter="0" w:footer="0" w:header="0"/>
        </w:sectPr>
      </w:pPr>
    </w:p>
    <w:bookmarkStart w:id="144" w:name="page145"/>
    <w:bookmarkEnd w:id="144"/>
    <w:p>
      <w:pPr>
        <w:spacing w:after="0" w:line="229" w:lineRule="auto"/>
        <w:rPr>
          <w:sz w:val="20"/>
          <w:szCs w:val="20"/>
          <w:color w:val="auto"/>
        </w:rPr>
      </w:pPr>
      <w:r>
        <w:rPr>
          <w:rFonts w:ascii="Calibri" w:cs="Calibri" w:eastAsia="Calibri" w:hAnsi="Calibri"/>
          <w:sz w:val="22"/>
          <w:szCs w:val="22"/>
          <w:color w:val="auto"/>
        </w:rPr>
        <w:t>receive 10% of regular periodic distributons payable to holders of Units (the “</w:t>
      </w:r>
      <w:r>
        <w:rPr>
          <w:rFonts w:ascii="Calibri" w:cs="Calibri" w:eastAsia="Calibri" w:hAnsi="Calibri"/>
          <w:sz w:val="22"/>
          <w:szCs w:val="22"/>
          <w:u w:val="single" w:color="auto"/>
          <w:color w:val="auto"/>
        </w:rPr>
        <w:t>Current Distributons</w:t>
      </w:r>
      <w:r>
        <w:rPr>
          <w:rFonts w:ascii="Calibri" w:cs="Calibri" w:eastAsia="Calibri" w:hAnsi="Calibri"/>
          <w:sz w:val="22"/>
          <w:szCs w:val="22"/>
          <w:color w:val="auto"/>
        </w:rPr>
        <w:t>”) and 0% of special, extraordinary or other distributons made not in the ordinary course.</w:t>
      </w:r>
    </w:p>
    <w:p>
      <w:pPr>
        <w:spacing w:after="0" w:line="217" w:lineRule="exact"/>
        <w:rPr>
          <w:sz w:val="20"/>
          <w:szCs w:val="20"/>
          <w:color w:val="auto"/>
        </w:rPr>
      </w:pPr>
    </w:p>
    <w:p>
      <w:pPr>
        <w:jc w:val="both"/>
        <w:ind w:firstLine="1304"/>
        <w:spacing w:after="0" w:line="242" w:lineRule="auto"/>
        <w:tabs>
          <w:tab w:leader="none" w:pos="1937" w:val="left"/>
        </w:tabs>
        <w:numPr>
          <w:ilvl w:val="1"/>
          <w:numId w:val="164"/>
        </w:numPr>
        <w:rPr>
          <w:rFonts w:ascii="Calibri" w:cs="Calibri" w:eastAsia="Calibri" w:hAnsi="Calibri"/>
          <w:sz w:val="21"/>
          <w:szCs w:val="21"/>
          <w:color w:val="010000"/>
        </w:rPr>
      </w:pPr>
      <w:r>
        <w:rPr>
          <w:rFonts w:ascii="Calibri" w:cs="Calibri" w:eastAsia="Calibri" w:hAnsi="Calibri"/>
          <w:sz w:val="21"/>
          <w:szCs w:val="21"/>
          <w:color w:val="auto"/>
        </w:rPr>
        <w:t>An amount equal to (i) the diference between (x) all distributons (regular, special, extraordinary or otherwise) paid with respect to one Unit between the date of grant of the 2024 LTIP Units (PB) and the last day of the Cumulatve Performance Period and (y) the Current Distributons paid with respect to one 2024 LTIP Unit up to the last day of the Cumulatve Performance Period (such diference, the “</w:t>
      </w:r>
      <w:r>
        <w:rPr>
          <w:rFonts w:ascii="Calibri" w:cs="Calibri" w:eastAsia="Calibri" w:hAnsi="Calibri"/>
          <w:sz w:val="21"/>
          <w:szCs w:val="21"/>
          <w:u w:val="single" w:color="auto"/>
          <w:color w:val="auto"/>
        </w:rPr>
        <w:t>Contngent Distributons</w:t>
      </w:r>
      <w:r>
        <w:rPr>
          <w:rFonts w:ascii="Calibri" w:cs="Calibri" w:eastAsia="Calibri" w:hAnsi="Calibri"/>
          <w:sz w:val="21"/>
          <w:szCs w:val="21"/>
          <w:color w:val="auto"/>
        </w:rPr>
        <w:t xml:space="preserve">”) multplied by (ii) the number of 2024 LTIP Units (PB) shall be credited to a notonal (unfunded) account for the beneft of the Grantee on the books and records of the Partnership subject to vestng. As promptly as practcable afer the last day of the Cumulatve Performance Period, an amount equal to the positve diference (if any) between (A) the Contngent Distributons that would have been paid with respect to those 2024 LTIP Units (PB) that have become vested pursuant to </w:t>
      </w:r>
      <w:r>
        <w:rPr>
          <w:rFonts w:ascii="Calibri" w:cs="Calibri" w:eastAsia="Calibri" w:hAnsi="Calibri"/>
          <w:sz w:val="21"/>
          <w:szCs w:val="21"/>
          <w:u w:val="single" w:color="auto"/>
          <w:color w:val="auto"/>
        </w:rPr>
        <w:t>Sectons 4</w:t>
      </w:r>
      <w:r>
        <w:rPr>
          <w:rFonts w:ascii="Calibri" w:cs="Calibri" w:eastAsia="Calibri" w:hAnsi="Calibri"/>
          <w:sz w:val="21"/>
          <w:szCs w:val="21"/>
          <w:color w:val="auto"/>
        </w:rPr>
        <w:t xml:space="preserve"> or </w:t>
      </w:r>
      <w:r>
        <w:rPr>
          <w:rFonts w:ascii="Calibri" w:cs="Calibri" w:eastAsia="Calibri" w:hAnsi="Calibri"/>
          <w:sz w:val="21"/>
          <w:szCs w:val="21"/>
          <w:u w:val="single" w:color="auto"/>
          <w:color w:val="auto"/>
        </w:rPr>
        <w:t>5</w:t>
      </w:r>
      <w:r>
        <w:rPr>
          <w:rFonts w:ascii="Calibri" w:cs="Calibri" w:eastAsia="Calibri" w:hAnsi="Calibri"/>
          <w:sz w:val="21"/>
          <w:szCs w:val="21"/>
          <w:color w:val="auto"/>
        </w:rPr>
        <w:t xml:space="preserve"> hereof and (B) if any, the Current Distributons paid to the Grantee prior to the last day of the Cumulatve Performance Period in accordance with </w:t>
      </w:r>
      <w:r>
        <w:rPr>
          <w:rFonts w:ascii="Calibri" w:cs="Calibri" w:eastAsia="Calibri" w:hAnsi="Calibri"/>
          <w:sz w:val="21"/>
          <w:szCs w:val="21"/>
          <w:u w:val="single" w:color="auto"/>
          <w:color w:val="auto"/>
        </w:rPr>
        <w:t>Secton 7(b)</w:t>
      </w:r>
      <w:r>
        <w:rPr>
          <w:rFonts w:ascii="Calibri" w:cs="Calibri" w:eastAsia="Calibri" w:hAnsi="Calibri"/>
          <w:sz w:val="21"/>
          <w:szCs w:val="21"/>
          <w:color w:val="auto"/>
        </w:rPr>
        <w:t xml:space="preserve"> in respect of the Unearned 2024 LTIP Units (PB) shall be paid to the Grantee. The “</w:t>
      </w:r>
      <w:r>
        <w:rPr>
          <w:rFonts w:ascii="Calibri" w:cs="Calibri" w:eastAsia="Calibri" w:hAnsi="Calibri"/>
          <w:sz w:val="21"/>
          <w:szCs w:val="21"/>
          <w:u w:val="single" w:color="auto"/>
          <w:color w:val="auto"/>
        </w:rPr>
        <w:t>Unearned 2024 LTIP Units (PB)</w:t>
      </w:r>
      <w:r>
        <w:rPr>
          <w:rFonts w:ascii="Calibri" w:cs="Calibri" w:eastAsia="Calibri" w:hAnsi="Calibri"/>
          <w:sz w:val="21"/>
          <w:szCs w:val="21"/>
          <w:color w:val="auto"/>
        </w:rPr>
        <w:t xml:space="preserve">” means the number of 2024 LTIP Units (PB), if any, that are forfeited following vestng pursuant to </w:t>
      </w:r>
      <w:r>
        <w:rPr>
          <w:rFonts w:ascii="Calibri" w:cs="Calibri" w:eastAsia="Calibri" w:hAnsi="Calibri"/>
          <w:sz w:val="21"/>
          <w:szCs w:val="21"/>
          <w:u w:val="single" w:color="auto"/>
          <w:color w:val="auto"/>
        </w:rPr>
        <w:t>Sectons 4</w:t>
      </w:r>
      <w:r>
        <w:rPr>
          <w:rFonts w:ascii="Calibri" w:cs="Calibri" w:eastAsia="Calibri" w:hAnsi="Calibri"/>
          <w:sz w:val="21"/>
          <w:szCs w:val="21"/>
          <w:color w:val="auto"/>
        </w:rPr>
        <w:t xml:space="preserve"> or </w:t>
      </w:r>
      <w:r>
        <w:rPr>
          <w:rFonts w:ascii="Calibri" w:cs="Calibri" w:eastAsia="Calibri" w:hAnsi="Calibri"/>
          <w:sz w:val="21"/>
          <w:szCs w:val="21"/>
          <w:u w:val="single" w:color="auto"/>
          <w:color w:val="auto"/>
        </w:rPr>
        <w:t>5</w:t>
      </w:r>
      <w:r>
        <w:rPr>
          <w:rFonts w:ascii="Calibri" w:cs="Calibri" w:eastAsia="Calibri" w:hAnsi="Calibri"/>
          <w:sz w:val="21"/>
          <w:szCs w:val="21"/>
          <w:color w:val="auto"/>
        </w:rPr>
        <w:t xml:space="preserve"> hereof. Any porton of the notonal account that is not payable to the Grantee shall be forfeited and revert to the Partnership free and clear of any claims by the Grantee.</w:t>
      </w:r>
    </w:p>
    <w:p>
      <w:pPr>
        <w:spacing w:after="0" w:line="232" w:lineRule="exact"/>
        <w:rPr>
          <w:rFonts w:ascii="Calibri" w:cs="Calibri" w:eastAsia="Calibri" w:hAnsi="Calibri"/>
          <w:sz w:val="21"/>
          <w:szCs w:val="21"/>
          <w:color w:val="010000"/>
        </w:rPr>
      </w:pPr>
    </w:p>
    <w:p>
      <w:pPr>
        <w:jc w:val="both"/>
        <w:ind w:firstLine="1304"/>
        <w:spacing w:after="0" w:line="229" w:lineRule="auto"/>
        <w:tabs>
          <w:tab w:leader="none" w:pos="1932" w:val="left"/>
        </w:tabs>
        <w:numPr>
          <w:ilvl w:val="1"/>
          <w:numId w:val="164"/>
        </w:numPr>
        <w:rPr>
          <w:rFonts w:ascii="Calibri" w:cs="Calibri" w:eastAsia="Calibri" w:hAnsi="Calibri"/>
          <w:sz w:val="22"/>
          <w:szCs w:val="22"/>
          <w:color w:val="010000"/>
        </w:rPr>
      </w:pPr>
      <w:r>
        <w:rPr>
          <w:rFonts w:ascii="Calibri" w:cs="Calibri" w:eastAsia="Calibri" w:hAnsi="Calibri"/>
          <w:sz w:val="22"/>
          <w:szCs w:val="22"/>
          <w:color w:val="auto"/>
        </w:rPr>
        <w:t>To the extent that the Partnership makes distributons to holders of Units partally in cash and partally in additonal Units or other securites, unless the Commitee in its sole discreton determines to allow the Grantee to make a diferent electon, the Grantee shall be deemed to have elected with respect to all 2024 LTIP Units (PB) eligible to receive such distributon to receive 10% of such distributon in cash and 90% in Units, with the cash component consttutng the Current Distributon prior to the last day of the Cumulatve Performance Period.</w:t>
      </w:r>
    </w:p>
    <w:p>
      <w:pPr>
        <w:spacing w:after="0" w:line="230" w:lineRule="exact"/>
        <w:rPr>
          <w:rFonts w:ascii="Calibri" w:cs="Calibri" w:eastAsia="Calibri" w:hAnsi="Calibri"/>
          <w:sz w:val="22"/>
          <w:szCs w:val="22"/>
          <w:color w:val="010000"/>
        </w:rPr>
      </w:pPr>
    </w:p>
    <w:p>
      <w:pPr>
        <w:jc w:val="both"/>
        <w:ind w:firstLine="1304"/>
        <w:spacing w:after="0" w:line="231" w:lineRule="auto"/>
        <w:tabs>
          <w:tab w:leader="none" w:pos="1939" w:val="left"/>
        </w:tabs>
        <w:numPr>
          <w:ilvl w:val="1"/>
          <w:numId w:val="164"/>
        </w:numPr>
        <w:rPr>
          <w:rFonts w:ascii="Calibri" w:cs="Calibri" w:eastAsia="Calibri" w:hAnsi="Calibri"/>
          <w:sz w:val="22"/>
          <w:szCs w:val="22"/>
          <w:color w:val="010000"/>
        </w:rPr>
      </w:pPr>
      <w:r>
        <w:rPr>
          <w:rFonts w:ascii="Calibri" w:cs="Calibri" w:eastAsia="Calibri" w:hAnsi="Calibri"/>
          <w:sz w:val="22"/>
          <w:szCs w:val="22"/>
          <w:color w:val="auto"/>
        </w:rPr>
        <w:t xml:space="preserve">To the extent that the allocatons of income, gain, loss and deducton actually reported on each Partner’s K-1 for any taxable year difer from the allocatons that would have been made for such year if this Agreement has been in efect at such tme, the Partnership shall adjust allocatons for the current and future taxable periods in such manner as the General Partner deems appropriate to fully ofset such diference. The intent of this </w:t>
      </w:r>
      <w:r>
        <w:rPr>
          <w:rFonts w:ascii="Calibri" w:cs="Calibri" w:eastAsia="Calibri" w:hAnsi="Calibri"/>
          <w:sz w:val="22"/>
          <w:szCs w:val="22"/>
          <w:u w:val="single" w:color="auto"/>
          <w:color w:val="auto"/>
        </w:rPr>
        <w:t>Secton 7(e)</w:t>
      </w:r>
      <w:r>
        <w:rPr>
          <w:rFonts w:ascii="Calibri" w:cs="Calibri" w:eastAsia="Calibri" w:hAnsi="Calibri"/>
          <w:sz w:val="22"/>
          <w:szCs w:val="22"/>
          <w:color w:val="auto"/>
        </w:rPr>
        <w:t xml:space="preserve"> is to put each Partner as quickly as possible in the same positon as he or she would have been in had this Agreement been in efect at all relevant tmes. This </w:t>
      </w:r>
      <w:r>
        <w:rPr>
          <w:rFonts w:ascii="Calibri" w:cs="Calibri" w:eastAsia="Calibri" w:hAnsi="Calibri"/>
          <w:sz w:val="22"/>
          <w:szCs w:val="22"/>
          <w:u w:val="single" w:color="auto"/>
          <w:color w:val="auto"/>
        </w:rPr>
        <w:t>Secton 7(e)</w:t>
      </w:r>
      <w:r>
        <w:rPr>
          <w:rFonts w:ascii="Calibri" w:cs="Calibri" w:eastAsia="Calibri" w:hAnsi="Calibri"/>
          <w:sz w:val="22"/>
          <w:szCs w:val="22"/>
          <w:color w:val="auto"/>
        </w:rPr>
        <w:t xml:space="preserve"> shall be interpreted consistently with such intent.</w:t>
      </w:r>
    </w:p>
    <w:p>
      <w:pPr>
        <w:spacing w:after="0" w:line="217" w:lineRule="exact"/>
        <w:rPr>
          <w:rFonts w:ascii="Calibri" w:cs="Calibri" w:eastAsia="Calibri" w:hAnsi="Calibri"/>
          <w:sz w:val="22"/>
          <w:szCs w:val="22"/>
          <w:color w:val="010000"/>
        </w:rPr>
      </w:pPr>
    </w:p>
    <w:p>
      <w:pPr>
        <w:jc w:val="both"/>
        <w:ind w:firstLine="656"/>
        <w:spacing w:after="0" w:line="229" w:lineRule="auto"/>
        <w:tabs>
          <w:tab w:leader="none" w:pos="1284" w:val="left"/>
        </w:tabs>
        <w:numPr>
          <w:ilvl w:val="0"/>
          <w:numId w:val="165"/>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Restrictons on Transfer</w:t>
      </w:r>
      <w:r>
        <w:rPr>
          <w:rFonts w:ascii="Calibri" w:cs="Calibri" w:eastAsia="Calibri" w:hAnsi="Calibri"/>
          <w:sz w:val="22"/>
          <w:szCs w:val="22"/>
          <w:color w:val="auto"/>
        </w:rPr>
        <w:t>. None of the 2024 LTIP Units (PB) shall be sold, assigned, transferred, pledged or</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otherwise disposed of or encumbered (whether voluntarily or involuntarily or by judgment, levy, atachment, garnishment or other legal or equitable proceeding) (each such acton a “</w:t>
      </w:r>
      <w:r>
        <w:rPr>
          <w:rFonts w:ascii="Calibri" w:cs="Calibri" w:eastAsia="Calibri" w:hAnsi="Calibri"/>
          <w:sz w:val="22"/>
          <w:szCs w:val="22"/>
          <w:u w:val="single" w:color="auto"/>
          <w:color w:val="auto"/>
        </w:rPr>
        <w:t>Transfer</w:t>
      </w:r>
      <w:r>
        <w:rPr>
          <w:rFonts w:ascii="Calibri" w:cs="Calibri" w:eastAsia="Calibri" w:hAnsi="Calibri"/>
          <w:sz w:val="22"/>
          <w:szCs w:val="22"/>
          <w:color w:val="auto"/>
        </w:rPr>
        <w:t xml:space="preserve">”), or redeemed in accordance with the Partnership Agreement (a) untl the date that is one year afer they have become vested pursuant to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other than in connecton with a Change of Control, and (b) unless such</w:t>
      </w:r>
    </w:p>
    <w:p>
      <w:pPr>
        <w:sectPr>
          <w:pgSz w:w="11900" w:h="16838" w:orient="portrait"/>
          <w:cols w:equalWidth="0" w:num="1">
            <w:col w:w="11240"/>
          </w:cols>
          <w:pgMar w:left="320" w:top="1407" w:right="339" w:bottom="1440" w:gutter="0" w:footer="0" w:header="0"/>
        </w:sectPr>
      </w:pPr>
    </w:p>
    <w:bookmarkStart w:id="145" w:name="page146"/>
    <w:bookmarkEnd w:id="145"/>
    <w:p>
      <w:pPr>
        <w:jc w:val="both"/>
        <w:spacing w:after="0" w:line="231" w:lineRule="auto"/>
        <w:rPr>
          <w:sz w:val="20"/>
          <w:szCs w:val="20"/>
          <w:color w:val="auto"/>
        </w:rPr>
      </w:pPr>
      <w:r>
        <w:rPr>
          <w:rFonts w:ascii="Calibri" w:cs="Calibri" w:eastAsia="Calibri" w:hAnsi="Calibri"/>
          <w:sz w:val="22"/>
          <w:szCs w:val="22"/>
          <w:color w:val="auto"/>
        </w:rPr>
        <w:t>Transfer is in compliance with all applicable securites laws (including, without limitaton, the Securites Act of 1933, as amended (the “</w:t>
      </w:r>
      <w:r>
        <w:rPr>
          <w:rFonts w:ascii="Calibri" w:cs="Calibri" w:eastAsia="Calibri" w:hAnsi="Calibri"/>
          <w:sz w:val="22"/>
          <w:szCs w:val="22"/>
          <w:u w:val="single" w:color="auto"/>
          <w:color w:val="auto"/>
        </w:rPr>
        <w:t>Securites Act</w:t>
      </w:r>
      <w:r>
        <w:rPr>
          <w:rFonts w:ascii="Calibri" w:cs="Calibri" w:eastAsia="Calibri" w:hAnsi="Calibri"/>
          <w:sz w:val="22"/>
          <w:szCs w:val="22"/>
          <w:color w:val="auto"/>
        </w:rPr>
        <w:t xml:space="preserve">”)), and such Transfer is in accordance with the applicable terms and conditons of the Partnership Agreement;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however</w:t>
      </w:r>
      <w:r>
        <w:rPr>
          <w:rFonts w:ascii="Calibri" w:cs="Calibri" w:eastAsia="Calibri" w:hAnsi="Calibri"/>
          <w:sz w:val="22"/>
          <w:szCs w:val="22"/>
          <w:color w:val="auto"/>
        </w:rPr>
        <w:t xml:space="preserve">, that clause (a) above shall not apply with respect to (i) the conversion into Units of 2024 LTIP Units (PB) that have become vested in accordance with </w:t>
      </w:r>
      <w:r>
        <w:rPr>
          <w:rFonts w:ascii="Calibri" w:cs="Calibri" w:eastAsia="Calibri" w:hAnsi="Calibri"/>
          <w:sz w:val="22"/>
          <w:szCs w:val="22"/>
          <w:u w:val="single" w:color="auto"/>
          <w:color w:val="auto"/>
        </w:rPr>
        <w:t>Sectons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hereof (“</w:t>
      </w:r>
      <w:r>
        <w:rPr>
          <w:rFonts w:ascii="Calibri" w:cs="Calibri" w:eastAsia="Calibri" w:hAnsi="Calibri"/>
          <w:sz w:val="22"/>
          <w:szCs w:val="22"/>
          <w:u w:val="single" w:color="auto"/>
          <w:color w:val="auto"/>
        </w:rPr>
        <w:t>Converted LTIP Units</w:t>
      </w:r>
      <w:r>
        <w:rPr>
          <w:rFonts w:ascii="Calibri" w:cs="Calibri" w:eastAsia="Calibri" w:hAnsi="Calibri"/>
          <w:sz w:val="22"/>
          <w:szCs w:val="22"/>
          <w:color w:val="auto"/>
        </w:rPr>
        <w:t xml:space="preserve">”), but, for the avoidance of doubt, any such Converted LTIP Units may not be redeemed in accordance with the Partnership Agreement untl the date that the restrictons in clause (a) above would cease to apply to the corresponding 2024 LTIP Units (PB) or (ii) any Transfer either of 2024 LTIP Units (PB) that have become vested in accordance with </w:t>
      </w:r>
      <w:r>
        <w:rPr>
          <w:rFonts w:ascii="Calibri" w:cs="Calibri" w:eastAsia="Calibri" w:hAnsi="Calibri"/>
          <w:sz w:val="22"/>
          <w:szCs w:val="22"/>
          <w:u w:val="single" w:color="auto"/>
          <w:color w:val="auto"/>
        </w:rPr>
        <w:t>Sectons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5</w:t>
      </w:r>
      <w:r>
        <w:rPr>
          <w:rFonts w:ascii="Calibri" w:cs="Calibri" w:eastAsia="Calibri" w:hAnsi="Calibri"/>
          <w:sz w:val="22"/>
          <w:szCs w:val="22"/>
          <w:color w:val="auto"/>
        </w:rPr>
        <w:t xml:space="preserve"> hereof or of Converted LTIP Units, so long as such Transfer is (A) permited under the Partnership Agreement and (B) in connecton with donatve, estate or tax planning by the Grantee; and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further</w:t>
      </w:r>
      <w:r>
        <w:rPr>
          <w:rFonts w:ascii="Calibri" w:cs="Calibri" w:eastAsia="Calibri" w:hAnsi="Calibri"/>
          <w:sz w:val="22"/>
          <w:szCs w:val="22"/>
          <w:color w:val="auto"/>
        </w:rPr>
        <w:t xml:space="preserve">, that the Transferee agrees in writng with the Company and the Partnership not to make any further Transfer of such vested 2024 LTIP Units (PB) or Converted LTIP Units other than as permited by this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In connecton with any Transfer of 2024 LTIP Units (PB) or Converted LTIP Units, the Partnership may require the Grantee to provide an opinion of counsel, satsfactory to the Partnership, that such Transfer is in compliance with all federal and state securites laws (including, without limitaton, the Securites Act). Any atempted Transfer of 2024 LTIP Units (PB) not in accordance with the terms and conditons of this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shall be null and void, and the Partnership shall not refect on its records any change in record ownership of any 2024 LTIP Units (PB) as a result of any such Transfer, shall otherwise refuse to recognize any such Transfer and shall not in any way give efect to any such Transfer of any 2024 LTIP Units (PB). The restrictons on Transfer in this </w:t>
      </w:r>
      <w:r>
        <w:rPr>
          <w:rFonts w:ascii="Calibri" w:cs="Calibri" w:eastAsia="Calibri" w:hAnsi="Calibri"/>
          <w:sz w:val="22"/>
          <w:szCs w:val="22"/>
          <w:u w:val="single" w:color="auto"/>
          <w:color w:val="auto"/>
        </w:rPr>
        <w:t>Secton 8</w:t>
      </w:r>
      <w:r>
        <w:rPr>
          <w:rFonts w:ascii="Calibri" w:cs="Calibri" w:eastAsia="Calibri" w:hAnsi="Calibri"/>
          <w:sz w:val="22"/>
          <w:szCs w:val="22"/>
          <w:color w:val="auto"/>
        </w:rPr>
        <w:t xml:space="preserve"> shall not be interpreted to prohibit the Grantee from designatng one or more benefciaries to receive the Grantee’s LTIP Units or Converted LTIP Units that are payable in the event of the Grantee’s death. Any such benefciary designaton shall be on a form provided or approved by the Company.</w:t>
      </w:r>
    </w:p>
    <w:p>
      <w:pPr>
        <w:spacing w:after="0" w:line="232" w:lineRule="exact"/>
        <w:rPr>
          <w:sz w:val="20"/>
          <w:szCs w:val="20"/>
          <w:color w:val="auto"/>
        </w:rPr>
      </w:pPr>
    </w:p>
    <w:p>
      <w:pPr>
        <w:jc w:val="both"/>
        <w:ind w:firstLine="656"/>
        <w:spacing w:after="0" w:line="231" w:lineRule="auto"/>
        <w:tabs>
          <w:tab w:leader="none" w:pos="1284" w:val="left"/>
        </w:tabs>
        <w:numPr>
          <w:ilvl w:val="0"/>
          <w:numId w:val="166"/>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Changes in Capital Structure</w:t>
      </w:r>
      <w:r>
        <w:rPr>
          <w:rFonts w:ascii="Calibri" w:cs="Calibri" w:eastAsia="Calibri" w:hAnsi="Calibri"/>
          <w:sz w:val="22"/>
          <w:szCs w:val="22"/>
          <w:color w:val="auto"/>
        </w:rPr>
        <w:t>. Without duplicaton with the provisions of Secton 6.2 of the Stock Plan, if (a)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Company shall at any tme be involved in a merger, consolidaton, dissoluton, liquidaton, reorganizaton, exchange of shares, sale of all or substantally all of the assets or stock of the Company, spin-of of a Subsidiary, business unit or signifcant porton of assets or other fundamental transacton similar thereto, (b) any stock dividend, stock split, reverse stock split, stock combinaton, reclassifcaton, recapitalizaton, signifcant repurchases of stock, or other similar change in the capital structure of the Company shall occur, (c) any extraordinary dividend or other distributon to holders of shares of Common Stock or Units other than regular cash dividends shall be made, or (d) any other event shall occur that in each case in the good faith judgment of the Commitee necessitates acton by way of appropriate equitable adjustment in the terms of this Award, the LTIP or the 2024 LTIP Units (PB), then the Commitee shall take such acton as it deems necessary to maintain the Grantee’s rights hereunder so that they are substantally proportonate to the rights existng under this Award, the LTIP and the terms of the 2024 LTIP Units (PB) prior to such event, including, without limitaton: (i) adjustments in the 2024 LTIP Units (PB) and the 2024-2 LTIP Units (PB), Share Price, Total Return or other pertnent terms of this Award; and (ii) substtuton of other awards under the Stock Plan or otherwise. The Grantee shall have the right to vote the 2024</w:t>
      </w:r>
    </w:p>
    <w:p>
      <w:pPr>
        <w:sectPr>
          <w:pgSz w:w="11900" w:h="16838" w:orient="portrait"/>
          <w:cols w:equalWidth="0" w:num="1">
            <w:col w:w="11240"/>
          </w:cols>
          <w:pgMar w:left="320" w:top="1407" w:right="339" w:bottom="1440" w:gutter="0" w:footer="0" w:header="0"/>
        </w:sectPr>
      </w:pPr>
    </w:p>
    <w:bookmarkStart w:id="146" w:name="page147"/>
    <w:bookmarkEnd w:id="146"/>
    <w:p>
      <w:pPr>
        <w:spacing w:after="0"/>
        <w:rPr>
          <w:sz w:val="20"/>
          <w:szCs w:val="20"/>
          <w:color w:val="auto"/>
        </w:rPr>
      </w:pPr>
      <w:r>
        <w:rPr>
          <w:rFonts w:ascii="Calibri" w:cs="Calibri" w:eastAsia="Calibri" w:hAnsi="Calibri"/>
          <w:sz w:val="22"/>
          <w:szCs w:val="22"/>
          <w:color w:val="auto"/>
        </w:rPr>
        <w:t>LTIP Units (PB) if and when votng is allowed under the Partnership Agreement, regardless of whether vestng has occurred.</w:t>
      </w:r>
    </w:p>
    <w:p>
      <w:pPr>
        <w:spacing w:after="0" w:line="204" w:lineRule="exact"/>
        <w:rPr>
          <w:sz w:val="20"/>
          <w:szCs w:val="20"/>
          <w:color w:val="auto"/>
        </w:rPr>
      </w:pPr>
    </w:p>
    <w:p>
      <w:pPr>
        <w:ind w:left="1300" w:hanging="644"/>
        <w:spacing w:after="0"/>
        <w:tabs>
          <w:tab w:leader="none" w:pos="1300" w:val="left"/>
        </w:tabs>
        <w:numPr>
          <w:ilvl w:val="0"/>
          <w:numId w:val="167"/>
        </w:numPr>
        <w:rPr>
          <w:rFonts w:ascii="Calibri" w:cs="Calibri" w:eastAsia="Calibri" w:hAnsi="Calibri"/>
          <w:sz w:val="22"/>
          <w:szCs w:val="22"/>
          <w:color w:val="010000"/>
        </w:rPr>
      </w:pPr>
      <w:r>
        <w:rPr>
          <w:rFonts w:ascii="Calibri" w:cs="Calibri" w:eastAsia="Calibri" w:hAnsi="Calibri"/>
          <w:sz w:val="22"/>
          <w:szCs w:val="22"/>
          <w:b w:val="1"/>
          <w:bCs w:val="1"/>
          <w:u w:val="single" w:color="auto"/>
          <w:color w:val="auto"/>
        </w:rPr>
        <w:t>Miscellaneous</w:t>
      </w:r>
      <w:r>
        <w:rPr>
          <w:rFonts w:ascii="Calibri" w:cs="Calibri" w:eastAsia="Calibri" w:hAnsi="Calibri"/>
          <w:sz w:val="22"/>
          <w:szCs w:val="22"/>
          <w:color w:val="auto"/>
        </w:rPr>
        <w:t>.</w:t>
      </w:r>
    </w:p>
    <w:p>
      <w:pPr>
        <w:spacing w:after="0" w:line="214" w:lineRule="exact"/>
        <w:rPr>
          <w:rFonts w:ascii="Calibri" w:cs="Calibri" w:eastAsia="Calibri" w:hAnsi="Calibri"/>
          <w:sz w:val="22"/>
          <w:szCs w:val="22"/>
          <w:color w:val="010000"/>
        </w:rPr>
      </w:pPr>
    </w:p>
    <w:p>
      <w:pPr>
        <w:jc w:val="both"/>
        <w:ind w:firstLine="1304"/>
        <w:spacing w:after="0" w:line="242" w:lineRule="auto"/>
        <w:tabs>
          <w:tab w:leader="none" w:pos="1935" w:val="left"/>
        </w:tabs>
        <w:numPr>
          <w:ilvl w:val="1"/>
          <w:numId w:val="167"/>
        </w:numPr>
        <w:rPr>
          <w:rFonts w:ascii="Calibri" w:cs="Calibri" w:eastAsia="Calibri" w:hAnsi="Calibri"/>
          <w:sz w:val="21"/>
          <w:szCs w:val="21"/>
          <w:color w:val="010000"/>
        </w:rPr>
      </w:pPr>
      <w:r>
        <w:rPr>
          <w:rFonts w:ascii="Calibri" w:cs="Calibri" w:eastAsia="Calibri" w:hAnsi="Calibri"/>
          <w:sz w:val="21"/>
          <w:szCs w:val="21"/>
          <w:u w:val="single" w:color="auto"/>
          <w:color w:val="auto"/>
        </w:rPr>
        <w:t>Amendments; Modifcatons</w:t>
      </w:r>
      <w:r>
        <w:rPr>
          <w:rFonts w:ascii="Calibri" w:cs="Calibri" w:eastAsia="Calibri" w:hAnsi="Calibri"/>
          <w:sz w:val="21"/>
          <w:szCs w:val="21"/>
          <w:color w:val="auto"/>
        </w:rPr>
        <w:t xml:space="preserve">. This Agreement may be amended or modifed only with the consent of the Company and the Partnership;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that any such amendment or modifcaton materially and adversely afectng the rights of the Grantee hereunder must be consented to by the Grantee to be efectve as against him; and </w:t>
      </w:r>
      <w:r>
        <w:rPr>
          <w:rFonts w:ascii="Calibri" w:cs="Calibri" w:eastAsia="Calibri" w:hAnsi="Calibri"/>
          <w:sz w:val="21"/>
          <w:szCs w:val="21"/>
          <w:u w:val="single" w:color="auto"/>
          <w:color w:val="auto"/>
        </w:rPr>
        <w:t>provided</w:t>
      </w:r>
      <w:r>
        <w:rPr>
          <w:rFonts w:ascii="Calibri" w:cs="Calibri" w:eastAsia="Calibri" w:hAnsi="Calibri"/>
          <w:sz w:val="21"/>
          <w:szCs w:val="21"/>
          <w:color w:val="auto"/>
        </w:rPr>
        <w:t xml:space="preserve">, </w:t>
      </w:r>
      <w:r>
        <w:rPr>
          <w:rFonts w:ascii="Calibri" w:cs="Calibri" w:eastAsia="Calibri" w:hAnsi="Calibri"/>
          <w:sz w:val="21"/>
          <w:szCs w:val="21"/>
          <w:u w:val="single" w:color="auto"/>
          <w:color w:val="auto"/>
        </w:rPr>
        <w:t>further</w:t>
      </w:r>
      <w:r>
        <w:rPr>
          <w:rFonts w:ascii="Calibri" w:cs="Calibri" w:eastAsia="Calibri" w:hAnsi="Calibri"/>
          <w:sz w:val="21"/>
          <w:szCs w:val="21"/>
          <w:color w:val="auto"/>
        </w:rPr>
        <w:t>, that the Grantee acknowledges that the Stock Plan may be amended or discontnued in accordance with Secton 6.6 thereof and that this Agreement may be amended or canceled by the Commitee, on behalf of the Company and the Partnership, for the purpose of satsfying changes in law or for any other lawful purpose, so long as no such acton shall impair the Grantee’s rights under this Agreement without the Grantee’s writen consent. Notwithstanding the foregoing, this Agreement may be amended in writng signed only by the Company to correct any errors or ambiguites in this Agreement and/or to make such changes that do not materially adversely afect the Grantee’s rights hereunder. No promises, assurances, commitments, agreements, undertakings or representatons, whether oral, writen, electronic or otherwise, and whether express or implied, with respect to the subject mater hereof, have been made by the partes which are not set forth expressly in this Agreement. This grant shall in no way afect the Grantee’s partcipaton or benefts under any other plan or beneft program maintained or provided by the Company.</w:t>
      </w:r>
    </w:p>
    <w:p>
      <w:pPr>
        <w:spacing w:after="0" w:line="232" w:lineRule="exact"/>
        <w:rPr>
          <w:rFonts w:ascii="Calibri" w:cs="Calibri" w:eastAsia="Calibri" w:hAnsi="Calibri"/>
          <w:sz w:val="21"/>
          <w:szCs w:val="21"/>
          <w:color w:val="010000"/>
        </w:rPr>
      </w:pPr>
    </w:p>
    <w:p>
      <w:pPr>
        <w:jc w:val="both"/>
        <w:ind w:firstLine="1304"/>
        <w:spacing w:after="0" w:line="231" w:lineRule="auto"/>
        <w:tabs>
          <w:tab w:leader="none" w:pos="1932" w:val="left"/>
        </w:tabs>
        <w:numPr>
          <w:ilvl w:val="1"/>
          <w:numId w:val="167"/>
        </w:numPr>
        <w:rPr>
          <w:rFonts w:ascii="Calibri" w:cs="Calibri" w:eastAsia="Calibri" w:hAnsi="Calibri"/>
          <w:sz w:val="22"/>
          <w:szCs w:val="22"/>
          <w:color w:val="010000"/>
        </w:rPr>
      </w:pPr>
      <w:r>
        <w:rPr>
          <w:rFonts w:ascii="Calibri" w:cs="Calibri" w:eastAsia="Calibri" w:hAnsi="Calibri"/>
          <w:sz w:val="22"/>
          <w:szCs w:val="22"/>
          <w:u w:val="single" w:color="auto"/>
          <w:color w:val="auto"/>
        </w:rPr>
        <w:t>Incorporaton of Stock Plan and Change in Control Arrangement; Commitee Determinatons</w:t>
      </w:r>
      <w:r>
        <w:rPr>
          <w:rFonts w:ascii="Calibri" w:cs="Calibri" w:eastAsia="Calibri" w:hAnsi="Calibri"/>
          <w:sz w:val="22"/>
          <w:szCs w:val="22"/>
          <w:color w:val="auto"/>
        </w:rPr>
        <w:t xml:space="preserve">. The provisions of the Stock Plan, Severance Arrangement and Service Agreement are hereby incorporated by reference as if set forth herein. In the event of a confict between this Agreement and the Stock Plan or this Agreement and the Severance Arrangement, or this Agreement and the Service Agreement, this Agreement shall be controlling and determinatve. The Commitee will make the determinatons and certfcatons required by this Award as promptly as reasonably practcable following the occurrence of the event or events necessitatng such determinatons or certfcatons. In the event of a Change of Control, the Commitee will perform any calculatons set forth in </w:t>
      </w:r>
      <w:r>
        <w:rPr>
          <w:rFonts w:ascii="Calibri" w:cs="Calibri" w:eastAsia="Calibri" w:hAnsi="Calibri"/>
          <w:sz w:val="22"/>
          <w:szCs w:val="22"/>
          <w:u w:val="single" w:color="auto"/>
          <w:color w:val="auto"/>
        </w:rPr>
        <w:t>Secton 4</w:t>
      </w:r>
      <w:r>
        <w:rPr>
          <w:rFonts w:ascii="Calibri" w:cs="Calibri" w:eastAsia="Calibri" w:hAnsi="Calibri"/>
          <w:sz w:val="22"/>
          <w:szCs w:val="22"/>
          <w:color w:val="auto"/>
        </w:rPr>
        <w:t xml:space="preserve"> or </w:t>
      </w:r>
      <w:r>
        <w:rPr>
          <w:rFonts w:ascii="Calibri" w:cs="Calibri" w:eastAsia="Calibri" w:hAnsi="Calibri"/>
          <w:sz w:val="22"/>
          <w:szCs w:val="22"/>
          <w:u w:val="single" w:color="auto"/>
          <w:color w:val="auto"/>
        </w:rPr>
        <w:t>Secton 5</w:t>
      </w:r>
      <w:r>
        <w:rPr>
          <w:rFonts w:ascii="Calibri" w:cs="Calibri" w:eastAsia="Calibri" w:hAnsi="Calibri"/>
          <w:sz w:val="22"/>
          <w:szCs w:val="22"/>
          <w:color w:val="auto"/>
        </w:rPr>
        <w:t xml:space="preserve"> hereof required in connecton with such Change of Control and make any determinatons relevant to vestng with respect to this Award within a period of tme that enables the Company to conclude whether 2024 LTIP Units (PB) become vested or are forfeited and whether any 2024-2 LTIP Units (PB) need to be granted not later than prior to the efectve date of the Change of Control, which determinatons could, for the avoidance of doubt, include good faith assumptons.</w:t>
      </w:r>
    </w:p>
    <w:p>
      <w:pPr>
        <w:spacing w:after="0" w:line="221" w:lineRule="exact"/>
        <w:rPr>
          <w:rFonts w:ascii="Calibri" w:cs="Calibri" w:eastAsia="Calibri" w:hAnsi="Calibri"/>
          <w:sz w:val="22"/>
          <w:szCs w:val="22"/>
          <w:color w:val="010000"/>
        </w:rPr>
      </w:pPr>
    </w:p>
    <w:p>
      <w:pPr>
        <w:jc w:val="both"/>
        <w:ind w:firstLine="1304"/>
        <w:spacing w:after="0" w:line="229" w:lineRule="auto"/>
        <w:tabs>
          <w:tab w:leader="none" w:pos="1937" w:val="left"/>
        </w:tabs>
        <w:numPr>
          <w:ilvl w:val="1"/>
          <w:numId w:val="167"/>
        </w:numPr>
        <w:rPr>
          <w:rFonts w:ascii="Calibri" w:cs="Calibri" w:eastAsia="Calibri" w:hAnsi="Calibri"/>
          <w:sz w:val="22"/>
          <w:szCs w:val="22"/>
          <w:color w:val="010000"/>
        </w:rPr>
      </w:pPr>
      <w:r>
        <w:rPr>
          <w:rFonts w:ascii="Calibri" w:cs="Calibri" w:eastAsia="Calibri" w:hAnsi="Calibri"/>
          <w:sz w:val="22"/>
          <w:szCs w:val="22"/>
          <w:u w:val="single" w:color="auto"/>
          <w:color w:val="auto"/>
        </w:rPr>
        <w:t>Status as a Partner</w:t>
      </w:r>
      <w:r>
        <w:rPr>
          <w:rFonts w:ascii="Calibri" w:cs="Calibri" w:eastAsia="Calibri" w:hAnsi="Calibri"/>
          <w:sz w:val="22"/>
          <w:szCs w:val="22"/>
          <w:color w:val="auto"/>
        </w:rPr>
        <w:t xml:space="preserve">. As of the grant date set forth on </w:t>
      </w:r>
      <w:r>
        <w:rPr>
          <w:rFonts w:ascii="Calibri" w:cs="Calibri" w:eastAsia="Calibri" w:hAnsi="Calibri"/>
          <w:sz w:val="22"/>
          <w:szCs w:val="22"/>
          <w:u w:val="single" w:color="auto"/>
          <w:color w:val="auto"/>
        </w:rPr>
        <w:t>Schedule A</w:t>
      </w:r>
      <w:r>
        <w:rPr>
          <w:rFonts w:ascii="Calibri" w:cs="Calibri" w:eastAsia="Calibri" w:hAnsi="Calibri"/>
          <w:sz w:val="22"/>
          <w:szCs w:val="22"/>
          <w:color w:val="auto"/>
        </w:rPr>
        <w:t xml:space="preserve">, the Grantee shall be admited as a partner of the Partnership with benefcial ownership of the number of 2024 LTIP Units (PB) issued to the Grantee as of such date pursuant to </w:t>
      </w:r>
      <w:r>
        <w:rPr>
          <w:rFonts w:ascii="Calibri" w:cs="Calibri" w:eastAsia="Calibri" w:hAnsi="Calibri"/>
          <w:sz w:val="22"/>
          <w:szCs w:val="22"/>
          <w:u w:val="single" w:color="auto"/>
          <w:color w:val="auto"/>
        </w:rPr>
        <w:t>Secton 3(a)</w:t>
      </w:r>
      <w:r>
        <w:rPr>
          <w:rFonts w:ascii="Calibri" w:cs="Calibri" w:eastAsia="Calibri" w:hAnsi="Calibri"/>
          <w:sz w:val="22"/>
          <w:szCs w:val="22"/>
          <w:color w:val="auto"/>
        </w:rPr>
        <w:t xml:space="preserve"> hereof by: (A) signing and delivering to the Partnership a copy of this Agreement; and (B) signing, as a Limited Partner, and delivering to the Partnership a counterpart signature page to the Partnership Agreement (atached hereto as </w:t>
      </w:r>
      <w:r>
        <w:rPr>
          <w:rFonts w:ascii="Calibri" w:cs="Calibri" w:eastAsia="Calibri" w:hAnsi="Calibri"/>
          <w:sz w:val="22"/>
          <w:szCs w:val="22"/>
          <w:u w:val="single" w:color="auto"/>
          <w:color w:val="auto"/>
        </w:rPr>
        <w:t>Exhibit A</w:t>
      </w:r>
      <w:r>
        <w:rPr>
          <w:rFonts w:ascii="Calibri" w:cs="Calibri" w:eastAsia="Calibri" w:hAnsi="Calibri"/>
          <w:sz w:val="22"/>
          <w:szCs w:val="22"/>
          <w:color w:val="auto"/>
        </w:rPr>
        <w:t>). The Partnership records shall refect</w:t>
      </w:r>
    </w:p>
    <w:p>
      <w:pPr>
        <w:sectPr>
          <w:pgSz w:w="11900" w:h="16838" w:orient="portrait"/>
          <w:cols w:equalWidth="0" w:num="1">
            <w:col w:w="11240"/>
          </w:cols>
          <w:pgMar w:left="320" w:top="1396" w:right="339" w:bottom="1440" w:gutter="0" w:footer="0" w:header="0"/>
        </w:sectPr>
      </w:pPr>
    </w:p>
    <w:bookmarkStart w:id="147" w:name="page148"/>
    <w:bookmarkEnd w:id="147"/>
    <w:p>
      <w:pPr>
        <w:jc w:val="both"/>
        <w:spacing w:after="0" w:line="232" w:lineRule="auto"/>
        <w:rPr>
          <w:sz w:val="20"/>
          <w:szCs w:val="20"/>
          <w:color w:val="auto"/>
        </w:rPr>
      </w:pPr>
      <w:r>
        <w:rPr>
          <w:rFonts w:ascii="Calibri" w:cs="Calibri" w:eastAsia="Calibri" w:hAnsi="Calibri"/>
          <w:sz w:val="22"/>
          <w:szCs w:val="22"/>
          <w:color w:val="auto"/>
        </w:rPr>
        <w:t xml:space="preserve">the issuance to the Grantee of 2024-2 LTIP Units (PB) pursuant to </w:t>
      </w:r>
      <w:r>
        <w:rPr>
          <w:rFonts w:ascii="Calibri" w:cs="Calibri" w:eastAsia="Calibri" w:hAnsi="Calibri"/>
          <w:sz w:val="22"/>
          <w:szCs w:val="22"/>
          <w:u w:val="single" w:color="auto"/>
          <w:color w:val="auto"/>
        </w:rPr>
        <w:t>Secton 3(b)</w:t>
      </w:r>
      <w:r>
        <w:rPr>
          <w:rFonts w:ascii="Calibri" w:cs="Calibri" w:eastAsia="Calibri" w:hAnsi="Calibri"/>
          <w:sz w:val="22"/>
          <w:szCs w:val="22"/>
          <w:color w:val="auto"/>
        </w:rPr>
        <w:t xml:space="preserve"> hereof, if any, whereupon the Grantee shall have the rights of a Limited Partner of the Partnership with respect to the total number of 2024 LTIP Units (PB) then held by the Grantee, as set forth in the Partnership Agreement, subject, however, to the restrictons and conditons specifed herein and in the Partnership Agreement.</w:t>
      </w:r>
    </w:p>
    <w:p>
      <w:pPr>
        <w:spacing w:after="0" w:line="217" w:lineRule="exact"/>
        <w:rPr>
          <w:sz w:val="20"/>
          <w:szCs w:val="20"/>
          <w:color w:val="auto"/>
        </w:rPr>
      </w:pPr>
    </w:p>
    <w:p>
      <w:pPr>
        <w:jc w:val="both"/>
        <w:ind w:firstLine="1304"/>
        <w:spacing w:after="0" w:line="230" w:lineRule="auto"/>
        <w:tabs>
          <w:tab w:leader="none" w:pos="1932" w:val="left"/>
        </w:tabs>
        <w:numPr>
          <w:ilvl w:val="0"/>
          <w:numId w:val="168"/>
        </w:numPr>
        <w:rPr>
          <w:rFonts w:ascii="Calibri" w:cs="Calibri" w:eastAsia="Calibri" w:hAnsi="Calibri"/>
          <w:sz w:val="22"/>
          <w:szCs w:val="22"/>
          <w:color w:val="010000"/>
        </w:rPr>
      </w:pPr>
      <w:r>
        <w:rPr>
          <w:rFonts w:ascii="Calibri" w:cs="Calibri" w:eastAsia="Calibri" w:hAnsi="Calibri"/>
          <w:sz w:val="22"/>
          <w:szCs w:val="22"/>
          <w:u w:val="single" w:color="auto"/>
          <w:color w:val="auto"/>
        </w:rPr>
        <w:t>Status of 2024 LTIP Units (PB)</w:t>
      </w:r>
      <w:r>
        <w:rPr>
          <w:rFonts w:ascii="Calibri" w:cs="Calibri" w:eastAsia="Calibri" w:hAnsi="Calibri"/>
          <w:sz w:val="22"/>
          <w:szCs w:val="22"/>
          <w:color w:val="auto"/>
        </w:rPr>
        <w:t xml:space="preserve">. The Company will have the right at its opton, as set forth in the Partnership Agreement, to issue shares of Common Stock in exchange for Units into which 2024 LTIP Units (PB) may have been converted pursuant to the Partnership Agreement, subject to certain limitatons set forth in the Partnership Agreement. For the avoidance of doubt, such shares of Common Stock, if issued, will be issued from the Company’s authorized shares of Common Stock. The Grantee must be eligible to receive the 2024 LTIP Units (PB) in compliance with applicable federal and state securites laws and to that efect is required to complete, execute and deliver certain covenants, representatons and warrantes (atached as </w:t>
      </w:r>
      <w:r>
        <w:rPr>
          <w:rFonts w:ascii="Calibri" w:cs="Calibri" w:eastAsia="Calibri" w:hAnsi="Calibri"/>
          <w:sz w:val="22"/>
          <w:szCs w:val="22"/>
          <w:u w:val="single" w:color="auto"/>
          <w:color w:val="auto"/>
        </w:rPr>
        <w:t>Exhibit B</w:t>
      </w:r>
      <w:r>
        <w:rPr>
          <w:rFonts w:ascii="Calibri" w:cs="Calibri" w:eastAsia="Calibri" w:hAnsi="Calibri"/>
          <w:sz w:val="22"/>
          <w:szCs w:val="22"/>
          <w:color w:val="auto"/>
        </w:rPr>
        <w:t>). The Grantee acknowledges that the Grantee will have no right to approve or disapprove such determinaton by the Commitee.</w:t>
      </w:r>
    </w:p>
    <w:p>
      <w:pPr>
        <w:spacing w:after="0" w:line="222" w:lineRule="exact"/>
        <w:rPr>
          <w:rFonts w:ascii="Calibri" w:cs="Calibri" w:eastAsia="Calibri" w:hAnsi="Calibri"/>
          <w:sz w:val="22"/>
          <w:szCs w:val="22"/>
          <w:color w:val="010000"/>
        </w:rPr>
      </w:pPr>
    </w:p>
    <w:p>
      <w:pPr>
        <w:jc w:val="both"/>
        <w:ind w:firstLine="1304"/>
        <w:spacing w:after="0" w:line="233" w:lineRule="auto"/>
        <w:tabs>
          <w:tab w:leader="none" w:pos="1939" w:val="left"/>
        </w:tabs>
        <w:numPr>
          <w:ilvl w:val="0"/>
          <w:numId w:val="168"/>
        </w:numPr>
        <w:rPr>
          <w:rFonts w:ascii="Calibri" w:cs="Calibri" w:eastAsia="Calibri" w:hAnsi="Calibri"/>
          <w:sz w:val="22"/>
          <w:szCs w:val="22"/>
          <w:color w:val="010000"/>
        </w:rPr>
      </w:pPr>
      <w:r>
        <w:rPr>
          <w:rFonts w:ascii="Calibri" w:cs="Calibri" w:eastAsia="Calibri" w:hAnsi="Calibri"/>
          <w:sz w:val="22"/>
          <w:szCs w:val="22"/>
          <w:u w:val="single" w:color="auto"/>
          <w:color w:val="auto"/>
        </w:rPr>
        <w:t>Legend</w:t>
      </w:r>
      <w:r>
        <w:rPr>
          <w:rFonts w:ascii="Calibri" w:cs="Calibri" w:eastAsia="Calibri" w:hAnsi="Calibri"/>
          <w:sz w:val="22"/>
          <w:szCs w:val="22"/>
          <w:color w:val="auto"/>
        </w:rPr>
        <w:t>. The records of the Partnership evidencing the 2024 LTIP Units (PB) shall bear an appropriate legend, as determined by the Partnership in its sole discreton, to the efect that such 2024 LTIP Units (PB) are subject to restrictons as set forth herein, in the Stock Plan and in the Partnership Agreement.</w:t>
      </w:r>
    </w:p>
    <w:p>
      <w:pPr>
        <w:spacing w:after="0" w:line="216" w:lineRule="exact"/>
        <w:rPr>
          <w:rFonts w:ascii="Calibri" w:cs="Calibri" w:eastAsia="Calibri" w:hAnsi="Calibri"/>
          <w:sz w:val="22"/>
          <w:szCs w:val="22"/>
          <w:color w:val="010000"/>
        </w:rPr>
      </w:pPr>
    </w:p>
    <w:p>
      <w:pPr>
        <w:jc w:val="both"/>
        <w:ind w:firstLine="1304"/>
        <w:spacing w:after="0" w:line="239" w:lineRule="auto"/>
        <w:tabs>
          <w:tab w:leader="none" w:pos="1941" w:val="left"/>
        </w:tabs>
        <w:numPr>
          <w:ilvl w:val="0"/>
          <w:numId w:val="168"/>
        </w:numPr>
        <w:rPr>
          <w:rFonts w:ascii="Calibri" w:cs="Calibri" w:eastAsia="Calibri" w:hAnsi="Calibri"/>
          <w:sz w:val="21"/>
          <w:szCs w:val="21"/>
          <w:color w:val="010000"/>
        </w:rPr>
      </w:pPr>
      <w:r>
        <w:rPr>
          <w:rFonts w:ascii="Calibri" w:cs="Calibri" w:eastAsia="Calibri" w:hAnsi="Calibri"/>
          <w:sz w:val="21"/>
          <w:szCs w:val="21"/>
          <w:u w:val="single" w:color="auto"/>
          <w:color w:val="auto"/>
        </w:rPr>
        <w:t>Compliance With Securites Laws</w:t>
      </w:r>
      <w:r>
        <w:rPr>
          <w:rFonts w:ascii="Calibri" w:cs="Calibri" w:eastAsia="Calibri" w:hAnsi="Calibri"/>
          <w:sz w:val="21"/>
          <w:szCs w:val="21"/>
          <w:color w:val="auto"/>
        </w:rPr>
        <w:t>. The Partnership and the Grantee will make reasonable eforts to comply with all applicable securites laws. In additon, notwithstanding any provision of this Agreement to the contrary, no 2024 LTIP Units (PB) will become vested or be issued at a tme that such vestng or issuance would result in a violaton of any such laws.</w:t>
      </w:r>
    </w:p>
    <w:p>
      <w:pPr>
        <w:spacing w:after="0" w:line="219" w:lineRule="exact"/>
        <w:rPr>
          <w:rFonts w:ascii="Calibri" w:cs="Calibri" w:eastAsia="Calibri" w:hAnsi="Calibri"/>
          <w:sz w:val="21"/>
          <w:szCs w:val="21"/>
          <w:color w:val="010000"/>
        </w:rPr>
      </w:pPr>
    </w:p>
    <w:p>
      <w:pPr>
        <w:jc w:val="both"/>
        <w:ind w:firstLine="1304"/>
        <w:spacing w:after="0" w:line="243" w:lineRule="auto"/>
        <w:tabs>
          <w:tab w:leader="none" w:pos="1935" w:val="left"/>
        </w:tabs>
        <w:numPr>
          <w:ilvl w:val="0"/>
          <w:numId w:val="168"/>
        </w:numPr>
        <w:rPr>
          <w:rFonts w:ascii="Calibri" w:cs="Calibri" w:eastAsia="Calibri" w:hAnsi="Calibri"/>
          <w:sz w:val="21"/>
          <w:szCs w:val="21"/>
          <w:color w:val="010000"/>
        </w:rPr>
      </w:pPr>
      <w:r>
        <w:rPr>
          <w:rFonts w:ascii="Calibri" w:cs="Calibri" w:eastAsia="Calibri" w:hAnsi="Calibri"/>
          <w:sz w:val="21"/>
          <w:szCs w:val="21"/>
          <w:u w:val="single" w:color="auto"/>
          <w:color w:val="auto"/>
        </w:rPr>
        <w:t>Investment Representatons; Registraton</w:t>
      </w:r>
      <w:r>
        <w:rPr>
          <w:rFonts w:ascii="Calibri" w:cs="Calibri" w:eastAsia="Calibri" w:hAnsi="Calibri"/>
          <w:sz w:val="21"/>
          <w:szCs w:val="21"/>
          <w:color w:val="auto"/>
        </w:rPr>
        <w:t xml:space="preserve">. The Grantee hereby makes the covenants, representatons and warrantes set forth on </w:t>
      </w:r>
      <w:r>
        <w:rPr>
          <w:rFonts w:ascii="Calibri" w:cs="Calibri" w:eastAsia="Calibri" w:hAnsi="Calibri"/>
          <w:sz w:val="21"/>
          <w:szCs w:val="21"/>
          <w:u w:val="single" w:color="auto"/>
          <w:color w:val="auto"/>
        </w:rPr>
        <w:t>Exhibit B</w:t>
      </w:r>
      <w:r>
        <w:rPr>
          <w:rFonts w:ascii="Calibri" w:cs="Calibri" w:eastAsia="Calibri" w:hAnsi="Calibri"/>
          <w:sz w:val="21"/>
          <w:szCs w:val="21"/>
          <w:color w:val="auto"/>
        </w:rPr>
        <w:t xml:space="preserve"> atached hereto. All of such covenants, warrantes and representatons shall survive the executon and delivery of this Agreement by the Grantee. The Partnership will have no obligaton to register under the Securites Act any 2024 LTIP Units (PB) or any other securites issued pursuant to this Agreement or upon conversion or exchange of 2024 LTIP Units (PB). The Grantee agrees that any resale of the shares of Common Stock received upon the exchange of Units into which 2024 LTIP Units (PB) may be converted shall not occur during the “blackout periods” forbidding sales of Company securites, as set forth in the then applicable Company employee manual or insider trading policy. In additon, any resale shall be made in compliance with the registraton requirements of the Securites Act or an applicable exempton therefrom, including, without limitaton, the exempton provided by Rule 144 promulgated thereunder (or any successor rule).</w:t>
      </w:r>
    </w:p>
    <w:p>
      <w:pPr>
        <w:spacing w:after="0" w:line="215" w:lineRule="exact"/>
        <w:rPr>
          <w:rFonts w:ascii="Calibri" w:cs="Calibri" w:eastAsia="Calibri" w:hAnsi="Calibri"/>
          <w:sz w:val="21"/>
          <w:szCs w:val="21"/>
          <w:color w:val="010000"/>
        </w:rPr>
      </w:pPr>
    </w:p>
    <w:p>
      <w:pPr>
        <w:jc w:val="both"/>
        <w:ind w:firstLine="1304"/>
        <w:spacing w:after="0" w:line="229" w:lineRule="auto"/>
        <w:tabs>
          <w:tab w:leader="none" w:pos="1932" w:val="left"/>
        </w:tabs>
        <w:numPr>
          <w:ilvl w:val="0"/>
          <w:numId w:val="168"/>
        </w:numPr>
        <w:rPr>
          <w:rFonts w:ascii="Calibri" w:cs="Calibri" w:eastAsia="Calibri" w:hAnsi="Calibri"/>
          <w:sz w:val="22"/>
          <w:szCs w:val="22"/>
          <w:color w:val="010000"/>
        </w:rPr>
      </w:pPr>
      <w:r>
        <w:rPr>
          <w:rFonts w:ascii="Calibri" w:cs="Calibri" w:eastAsia="Calibri" w:hAnsi="Calibri"/>
          <w:sz w:val="22"/>
          <w:szCs w:val="22"/>
          <w:u w:val="single" w:color="auto"/>
          <w:color w:val="auto"/>
        </w:rPr>
        <w:t>Secton 83(b) Electon</w:t>
      </w:r>
      <w:r>
        <w:rPr>
          <w:rFonts w:ascii="Calibri" w:cs="Calibri" w:eastAsia="Calibri" w:hAnsi="Calibri"/>
          <w:sz w:val="22"/>
          <w:szCs w:val="22"/>
          <w:color w:val="auto"/>
        </w:rPr>
        <w:t xml:space="preserve">. In connecton with the issuance of 2024 LTIP Units (PB) under this Award pursuant to </w:t>
      </w:r>
      <w:r>
        <w:rPr>
          <w:rFonts w:ascii="Calibri" w:cs="Calibri" w:eastAsia="Calibri" w:hAnsi="Calibri"/>
          <w:sz w:val="22"/>
          <w:szCs w:val="22"/>
          <w:u w:val="single" w:color="auto"/>
          <w:color w:val="auto"/>
        </w:rPr>
        <w:t>Secton 3</w:t>
      </w:r>
      <w:r>
        <w:rPr>
          <w:rFonts w:ascii="Calibri" w:cs="Calibri" w:eastAsia="Calibri" w:hAnsi="Calibri"/>
          <w:sz w:val="22"/>
          <w:szCs w:val="22"/>
          <w:color w:val="auto"/>
        </w:rPr>
        <w:t xml:space="preserve"> hereof the Grantee may (but is not required to) make an electon to include in gross income in the year of transfer the applicable 2024 LTIP Units (PB) pursuant to Secton 83(b) of the Code substantally in the form atached hereto as</w:t>
      </w:r>
    </w:p>
    <w:p>
      <w:pPr>
        <w:sectPr>
          <w:pgSz w:w="11900" w:h="16838" w:orient="portrait"/>
          <w:cols w:equalWidth="0" w:num="1">
            <w:col w:w="11240"/>
          </w:cols>
          <w:pgMar w:left="320" w:top="1407" w:right="339" w:bottom="1440" w:gutter="0" w:footer="0" w:header="0"/>
        </w:sectPr>
      </w:pPr>
    </w:p>
    <w:bookmarkStart w:id="148" w:name="page149"/>
    <w:bookmarkEnd w:id="148"/>
    <w:p>
      <w:pPr>
        <w:jc w:val="both"/>
        <w:spacing w:after="0" w:line="229" w:lineRule="auto"/>
        <w:rPr>
          <w:sz w:val="20"/>
          <w:szCs w:val="20"/>
          <w:color w:val="auto"/>
        </w:rPr>
      </w:pPr>
      <w:r>
        <w:rPr>
          <w:rFonts w:ascii="Calibri" w:cs="Calibri" w:eastAsia="Calibri" w:hAnsi="Calibri"/>
          <w:sz w:val="22"/>
          <w:szCs w:val="22"/>
          <w:u w:val="single" w:color="auto"/>
          <w:color w:val="auto"/>
        </w:rPr>
        <w:t>Exhibit C</w:t>
      </w:r>
      <w:r>
        <w:rPr>
          <w:rFonts w:ascii="Calibri" w:cs="Calibri" w:eastAsia="Calibri" w:hAnsi="Calibri"/>
          <w:sz w:val="22"/>
          <w:szCs w:val="22"/>
          <w:color w:val="auto"/>
        </w:rPr>
        <w:t xml:space="preserve"> and, if such an electon is made, the Grantee shall provide to the Company a copy thereof and supply to the Company such other informaton as the Company is required to maintain or fle in accordance with the regulatons promulgated thereunder.</w:t>
      </w:r>
    </w:p>
    <w:p>
      <w:pPr>
        <w:spacing w:after="0" w:line="230" w:lineRule="exact"/>
        <w:rPr>
          <w:sz w:val="20"/>
          <w:szCs w:val="20"/>
          <w:color w:val="auto"/>
        </w:rPr>
      </w:pPr>
    </w:p>
    <w:p>
      <w:pPr>
        <w:jc w:val="both"/>
        <w:ind w:firstLine="1304"/>
        <w:spacing w:after="0" w:line="229" w:lineRule="auto"/>
        <w:tabs>
          <w:tab w:leader="none" w:pos="1936" w:val="left"/>
        </w:tabs>
        <w:numPr>
          <w:ilvl w:val="0"/>
          <w:numId w:val="169"/>
        </w:numPr>
        <w:rPr>
          <w:rFonts w:ascii="Calibri" w:cs="Calibri" w:eastAsia="Calibri" w:hAnsi="Calibri"/>
          <w:sz w:val="22"/>
          <w:szCs w:val="22"/>
          <w:color w:val="010000"/>
        </w:rPr>
      </w:pPr>
      <w:r>
        <w:rPr>
          <w:rFonts w:ascii="Calibri" w:cs="Calibri" w:eastAsia="Calibri" w:hAnsi="Calibri"/>
          <w:sz w:val="22"/>
          <w:szCs w:val="22"/>
          <w:u w:val="single" w:color="auto"/>
          <w:color w:val="auto"/>
        </w:rPr>
        <w:t>Severability</w:t>
      </w:r>
      <w:r>
        <w:rPr>
          <w:rFonts w:ascii="Calibri" w:cs="Calibri" w:eastAsia="Calibri" w:hAnsi="Calibri"/>
          <w:sz w:val="22"/>
          <w:szCs w:val="22"/>
          <w:color w:val="auto"/>
        </w:rPr>
        <w:t>. If, for any reason, any provision of this Agreement is held invalid, such invalidity shall not afect any other provision of this Agreement not so held invalid, and each such other provision shall to the full extent consistent with law contnue in full force and efect. If any provision of this Agreement shall be held invalid in part, such invalidity shall in no way afect the rest of such provision not held so invalid, and the rest of such provision, together with all other provisions of this Agreement, shall to the full extent consistent with law contnue in full force and efect.</w:t>
      </w:r>
    </w:p>
    <w:p>
      <w:pPr>
        <w:spacing w:after="0" w:line="230" w:lineRule="exact"/>
        <w:rPr>
          <w:rFonts w:ascii="Calibri" w:cs="Calibri" w:eastAsia="Calibri" w:hAnsi="Calibri"/>
          <w:sz w:val="22"/>
          <w:szCs w:val="22"/>
          <w:color w:val="010000"/>
        </w:rPr>
      </w:pPr>
    </w:p>
    <w:p>
      <w:pPr>
        <w:ind w:right="20" w:firstLine="1304"/>
        <w:spacing w:after="0" w:line="229" w:lineRule="auto"/>
        <w:tabs>
          <w:tab w:leader="none" w:pos="1944" w:val="left"/>
        </w:tabs>
        <w:numPr>
          <w:ilvl w:val="0"/>
          <w:numId w:val="169"/>
        </w:numPr>
        <w:rPr>
          <w:rFonts w:ascii="Calibri" w:cs="Calibri" w:eastAsia="Calibri" w:hAnsi="Calibri"/>
          <w:sz w:val="22"/>
          <w:szCs w:val="22"/>
          <w:color w:val="010000"/>
        </w:rPr>
      </w:pPr>
      <w:r>
        <w:rPr>
          <w:rFonts w:ascii="Calibri" w:cs="Calibri" w:eastAsia="Calibri" w:hAnsi="Calibri"/>
          <w:sz w:val="22"/>
          <w:szCs w:val="22"/>
          <w:u w:val="single" w:color="auto"/>
          <w:color w:val="auto"/>
        </w:rPr>
        <w:t>Governing Law</w:t>
      </w:r>
      <w:r>
        <w:rPr>
          <w:rFonts w:ascii="Calibri" w:cs="Calibri" w:eastAsia="Calibri" w:hAnsi="Calibri"/>
          <w:sz w:val="22"/>
          <w:szCs w:val="22"/>
          <w:color w:val="auto"/>
        </w:rPr>
        <w:t>. This Agreement is made under, and will be construed in accordance with, the laws of the State of Delaware, without giving efect to the principles of confict of laws of such state.</w:t>
      </w:r>
    </w:p>
    <w:p>
      <w:pPr>
        <w:spacing w:after="0" w:line="216" w:lineRule="exact"/>
        <w:rPr>
          <w:rFonts w:ascii="Calibri" w:cs="Calibri" w:eastAsia="Calibri" w:hAnsi="Calibri"/>
          <w:sz w:val="22"/>
          <w:szCs w:val="22"/>
          <w:color w:val="010000"/>
        </w:rPr>
      </w:pPr>
    </w:p>
    <w:p>
      <w:pPr>
        <w:jc w:val="both"/>
        <w:ind w:firstLine="1304"/>
        <w:spacing w:after="0" w:line="229" w:lineRule="auto"/>
        <w:tabs>
          <w:tab w:leader="none" w:pos="1944" w:val="left"/>
        </w:tabs>
        <w:numPr>
          <w:ilvl w:val="0"/>
          <w:numId w:val="169"/>
        </w:numPr>
        <w:rPr>
          <w:rFonts w:ascii="Calibri" w:cs="Calibri" w:eastAsia="Calibri" w:hAnsi="Calibri"/>
          <w:sz w:val="22"/>
          <w:szCs w:val="22"/>
          <w:color w:val="010000"/>
        </w:rPr>
      </w:pPr>
      <w:r>
        <w:rPr>
          <w:rFonts w:ascii="Calibri" w:cs="Calibri" w:eastAsia="Calibri" w:hAnsi="Calibri"/>
          <w:sz w:val="22"/>
          <w:szCs w:val="22"/>
          <w:u w:val="single" w:color="auto"/>
          <w:color w:val="auto"/>
        </w:rPr>
        <w:t>No Obligaton to Contnue Positon as an Employee, Consultant or Advisor</w:t>
      </w:r>
      <w:r>
        <w:rPr>
          <w:rFonts w:ascii="Calibri" w:cs="Calibri" w:eastAsia="Calibri" w:hAnsi="Calibri"/>
          <w:sz w:val="22"/>
          <w:szCs w:val="22"/>
          <w:color w:val="auto"/>
        </w:rPr>
        <w:t>. Neither the Company nor any afliate is obligated by or as a result of this Agreement to contnue to have the Grantee as an employee, consultant or advisor and this Agreement shall not interfere in any way with the right of the Company or any afliate to terminate the Grantee’s service relatonship at any tme.</w:t>
      </w:r>
    </w:p>
    <w:p>
      <w:pPr>
        <w:spacing w:after="0" w:line="230" w:lineRule="exact"/>
        <w:rPr>
          <w:rFonts w:ascii="Calibri" w:cs="Calibri" w:eastAsia="Calibri" w:hAnsi="Calibri"/>
          <w:sz w:val="22"/>
          <w:szCs w:val="22"/>
          <w:color w:val="010000"/>
        </w:rPr>
      </w:pPr>
    </w:p>
    <w:p>
      <w:pPr>
        <w:jc w:val="both"/>
        <w:ind w:firstLine="1304"/>
        <w:spacing w:after="0" w:line="229" w:lineRule="auto"/>
        <w:tabs>
          <w:tab w:leader="none" w:pos="1936" w:val="left"/>
        </w:tabs>
        <w:numPr>
          <w:ilvl w:val="0"/>
          <w:numId w:val="169"/>
        </w:numPr>
        <w:rPr>
          <w:rFonts w:ascii="Calibri" w:cs="Calibri" w:eastAsia="Calibri" w:hAnsi="Calibri"/>
          <w:sz w:val="22"/>
          <w:szCs w:val="22"/>
          <w:color w:val="010000"/>
        </w:rPr>
      </w:pPr>
      <w:r>
        <w:rPr>
          <w:rFonts w:ascii="Calibri" w:cs="Calibri" w:eastAsia="Calibri" w:hAnsi="Calibri"/>
          <w:sz w:val="22"/>
          <w:szCs w:val="22"/>
          <w:u w:val="single" w:color="auto"/>
          <w:color w:val="auto"/>
        </w:rPr>
        <w:t>Notces</w:t>
      </w:r>
      <w:r>
        <w:rPr>
          <w:rFonts w:ascii="Calibri" w:cs="Calibri" w:eastAsia="Calibri" w:hAnsi="Calibri"/>
          <w:sz w:val="22"/>
          <w:szCs w:val="22"/>
          <w:color w:val="auto"/>
        </w:rPr>
        <w:t>. Any notce to be given to the Company shall be addressed to the Secretary of the Company at its principal place of business and any notce to be given the Grantee shall be addressed to the Grantee at the Grantee’s address as it appears on the employment records of the Company, or at such other address as the Company or the Grantee may hereafer designate in writng to the other.</w:t>
      </w:r>
    </w:p>
    <w:p>
      <w:pPr>
        <w:spacing w:after="0" w:line="217" w:lineRule="exact"/>
        <w:rPr>
          <w:rFonts w:ascii="Calibri" w:cs="Calibri" w:eastAsia="Calibri" w:hAnsi="Calibri"/>
          <w:sz w:val="22"/>
          <w:szCs w:val="22"/>
          <w:color w:val="010000"/>
        </w:rPr>
      </w:pPr>
    </w:p>
    <w:p>
      <w:pPr>
        <w:jc w:val="both"/>
        <w:ind w:firstLine="1304"/>
        <w:spacing w:after="0" w:line="232" w:lineRule="auto"/>
        <w:tabs>
          <w:tab w:leader="none" w:pos="1937" w:val="left"/>
        </w:tabs>
        <w:numPr>
          <w:ilvl w:val="0"/>
          <w:numId w:val="169"/>
        </w:numPr>
        <w:rPr>
          <w:rFonts w:ascii="Calibri" w:cs="Calibri" w:eastAsia="Calibri" w:hAnsi="Calibri"/>
          <w:sz w:val="22"/>
          <w:szCs w:val="22"/>
          <w:color w:val="010000"/>
        </w:rPr>
      </w:pPr>
      <w:r>
        <w:rPr>
          <w:rFonts w:ascii="Calibri" w:cs="Calibri" w:eastAsia="Calibri" w:hAnsi="Calibri"/>
          <w:sz w:val="22"/>
          <w:szCs w:val="22"/>
          <w:u w:val="single" w:color="auto"/>
          <w:color w:val="auto"/>
        </w:rPr>
        <w:t>Withholding and Taxes</w:t>
      </w:r>
      <w:r>
        <w:rPr>
          <w:rFonts w:ascii="Calibri" w:cs="Calibri" w:eastAsia="Calibri" w:hAnsi="Calibri"/>
          <w:sz w:val="22"/>
          <w:szCs w:val="22"/>
          <w:color w:val="auto"/>
        </w:rPr>
        <w:t>. No later than the date as of which an amount frst becomes includible in the gross income of the Grantee for income tax purposes or subject to the Federal Insurance Contributons Act withholding with respect to this Award, the Grantee will pay to the Company or, if appropriate, any of its afliates, or make arrangements satsfactory to the Commitee regarding the payment of, any United States federal, state or local or foreign taxes of any kind required by law to be withheld with respect to such amount. The obligatons of the Company under this Agreement will be conditonal on such payment or arrangements, and the Company and its afliates shall, to the extent permited by law, have the right to deduct any such taxes from any payment otherwise due to the Grantee.</w:t>
      </w:r>
    </w:p>
    <w:p>
      <w:pPr>
        <w:spacing w:after="0" w:line="221" w:lineRule="exact"/>
        <w:rPr>
          <w:rFonts w:ascii="Calibri" w:cs="Calibri" w:eastAsia="Calibri" w:hAnsi="Calibri"/>
          <w:sz w:val="22"/>
          <w:szCs w:val="22"/>
          <w:color w:val="010000"/>
        </w:rPr>
      </w:pPr>
    </w:p>
    <w:p>
      <w:pPr>
        <w:ind w:firstLine="1304"/>
        <w:spacing w:after="0" w:line="229" w:lineRule="auto"/>
        <w:tabs>
          <w:tab w:leader="none" w:pos="1932" w:val="left"/>
        </w:tabs>
        <w:numPr>
          <w:ilvl w:val="0"/>
          <w:numId w:val="169"/>
        </w:numPr>
        <w:rPr>
          <w:rFonts w:ascii="Calibri" w:cs="Calibri" w:eastAsia="Calibri" w:hAnsi="Calibri"/>
          <w:sz w:val="22"/>
          <w:szCs w:val="22"/>
          <w:color w:val="010000"/>
        </w:rPr>
      </w:pPr>
      <w:r>
        <w:rPr>
          <w:rFonts w:ascii="Calibri" w:cs="Calibri" w:eastAsia="Calibri" w:hAnsi="Calibri"/>
          <w:sz w:val="22"/>
          <w:szCs w:val="22"/>
          <w:u w:val="single" w:color="auto"/>
          <w:color w:val="auto"/>
        </w:rPr>
        <w:t>Headings</w:t>
      </w:r>
      <w:r>
        <w:rPr>
          <w:rFonts w:ascii="Calibri" w:cs="Calibri" w:eastAsia="Calibri" w:hAnsi="Calibri"/>
          <w:sz w:val="22"/>
          <w:szCs w:val="22"/>
          <w:color w:val="auto"/>
        </w:rPr>
        <w:t>. The headings of paragraphs hereof are included solely for convenience of reference and shall not control the meaning or interpretaton of any of the provisions of this Agreement.</w:t>
      </w:r>
    </w:p>
    <w:p>
      <w:pPr>
        <w:spacing w:after="0" w:line="216" w:lineRule="exact"/>
        <w:rPr>
          <w:rFonts w:ascii="Calibri" w:cs="Calibri" w:eastAsia="Calibri" w:hAnsi="Calibri"/>
          <w:sz w:val="22"/>
          <w:szCs w:val="22"/>
          <w:color w:val="010000"/>
        </w:rPr>
      </w:pPr>
    </w:p>
    <w:p>
      <w:pPr>
        <w:jc w:val="both"/>
        <w:ind w:right="20" w:firstLine="1304"/>
        <w:spacing w:after="0" w:line="229" w:lineRule="auto"/>
        <w:tabs>
          <w:tab w:leader="none" w:pos="1932" w:val="left"/>
        </w:tabs>
        <w:numPr>
          <w:ilvl w:val="0"/>
          <w:numId w:val="169"/>
        </w:numPr>
        <w:rPr>
          <w:rFonts w:ascii="Calibri" w:cs="Calibri" w:eastAsia="Calibri" w:hAnsi="Calibri"/>
          <w:sz w:val="22"/>
          <w:szCs w:val="22"/>
          <w:color w:val="010000"/>
        </w:rPr>
      </w:pPr>
      <w:r>
        <w:rPr>
          <w:rFonts w:ascii="Calibri" w:cs="Calibri" w:eastAsia="Calibri" w:hAnsi="Calibri"/>
          <w:sz w:val="22"/>
          <w:szCs w:val="22"/>
          <w:u w:val="single" w:color="auto"/>
          <w:color w:val="auto"/>
        </w:rPr>
        <w:t>Counterparts</w:t>
      </w:r>
      <w:r>
        <w:rPr>
          <w:rFonts w:ascii="Calibri" w:cs="Calibri" w:eastAsia="Calibri" w:hAnsi="Calibri"/>
          <w:sz w:val="22"/>
          <w:szCs w:val="22"/>
          <w:color w:val="auto"/>
        </w:rPr>
        <w:t>. This Agreement may be executed in multple counterparts with the same efect as if each of the signing partes had signed the same document. All counterparts shall be construed together and consttute the same instrument.</w:t>
      </w:r>
    </w:p>
    <w:p>
      <w:pPr>
        <w:sectPr>
          <w:pgSz w:w="11900" w:h="16838" w:orient="portrait"/>
          <w:cols w:equalWidth="0" w:num="1">
            <w:col w:w="11240"/>
          </w:cols>
          <w:pgMar w:left="320" w:top="1407" w:right="339" w:bottom="1440" w:gutter="0" w:footer="0" w:header="0"/>
        </w:sectPr>
      </w:pPr>
    </w:p>
    <w:bookmarkStart w:id="149" w:name="page150"/>
    <w:bookmarkEnd w:id="149"/>
    <w:p>
      <w:pPr>
        <w:jc w:val="both"/>
        <w:ind w:firstLine="1304"/>
        <w:spacing w:after="0" w:line="232" w:lineRule="auto"/>
        <w:tabs>
          <w:tab w:leader="none" w:pos="1932" w:val="left"/>
        </w:tabs>
        <w:numPr>
          <w:ilvl w:val="0"/>
          <w:numId w:val="170"/>
        </w:numPr>
        <w:rPr>
          <w:rFonts w:ascii="Calibri" w:cs="Calibri" w:eastAsia="Calibri" w:hAnsi="Calibri"/>
          <w:sz w:val="22"/>
          <w:szCs w:val="22"/>
          <w:color w:val="010000"/>
        </w:rPr>
      </w:pPr>
      <w:r>
        <w:rPr>
          <w:rFonts w:ascii="Calibri" w:cs="Calibri" w:eastAsia="Calibri" w:hAnsi="Calibri"/>
          <w:sz w:val="22"/>
          <w:szCs w:val="22"/>
          <w:u w:val="single" w:color="auto"/>
          <w:color w:val="auto"/>
        </w:rPr>
        <w:t>Successors and Assigns</w:t>
      </w:r>
      <w:r>
        <w:rPr>
          <w:rFonts w:ascii="Calibri" w:cs="Calibri" w:eastAsia="Calibri" w:hAnsi="Calibri"/>
          <w:sz w:val="22"/>
          <w:szCs w:val="22"/>
          <w:color w:val="auto"/>
        </w:rPr>
        <w:t>. This Agreement shall be binding upon and inure to the beneft of the partes hereto and any successors to the Company and the Partnership, on the one hand, and any successors to the Grantee, on the other hand, by will or the laws of descent and distributon, but this Agreement shall not otherwise be assignable or otherwise subject to hypothecaton by the Grantee.</w:t>
      </w:r>
    </w:p>
    <w:p>
      <w:pPr>
        <w:spacing w:after="0" w:line="217" w:lineRule="exact"/>
        <w:rPr>
          <w:rFonts w:ascii="Calibri" w:cs="Calibri" w:eastAsia="Calibri" w:hAnsi="Calibri"/>
          <w:sz w:val="22"/>
          <w:szCs w:val="22"/>
          <w:color w:val="010000"/>
        </w:rPr>
      </w:pPr>
    </w:p>
    <w:p>
      <w:pPr>
        <w:jc w:val="both"/>
        <w:ind w:firstLine="1304"/>
        <w:spacing w:after="0" w:line="231" w:lineRule="auto"/>
        <w:tabs>
          <w:tab w:leader="none" w:pos="1932" w:val="left"/>
        </w:tabs>
        <w:numPr>
          <w:ilvl w:val="0"/>
          <w:numId w:val="170"/>
        </w:numPr>
        <w:rPr>
          <w:rFonts w:ascii="Calibri" w:cs="Calibri" w:eastAsia="Calibri" w:hAnsi="Calibri"/>
          <w:sz w:val="22"/>
          <w:szCs w:val="22"/>
          <w:color w:val="010000"/>
        </w:rPr>
      </w:pPr>
      <w:r>
        <w:rPr>
          <w:rFonts w:ascii="Calibri" w:cs="Calibri" w:eastAsia="Calibri" w:hAnsi="Calibri"/>
          <w:sz w:val="22"/>
          <w:szCs w:val="22"/>
          <w:u w:val="single" w:color="auto"/>
          <w:color w:val="auto"/>
        </w:rPr>
        <w:t>409A</w:t>
      </w:r>
      <w:r>
        <w:rPr>
          <w:rFonts w:ascii="Calibri" w:cs="Calibri" w:eastAsia="Calibri" w:hAnsi="Calibri"/>
          <w:sz w:val="22"/>
          <w:szCs w:val="22"/>
          <w:color w:val="auto"/>
        </w:rPr>
        <w:t>. To the extent applicable, this Agreement shall be construed, administered and interpreted in accordance with a good faith interpretaton of Secton 409A of the Code. Any provision of this Agreement that is inconsistent with Secton 409A of the Code, to the extent applicable, or that may result in penaltes under Secton 409A of the Code, shall be amended, in consultaton with the Grantee and with the reasonable cooperaton of the Grantee and the Company, in the least restrictve manner necessary to (i) exclude the applicable payment or beneft under this Agreement from the defniton of “deferred compensaton” within the meaning of such Secton 409A or (ii) comply with the provisions of Secton 409A, other applicable provision(s) of the Code and/or any rules, regulatons or other regulatory guidance issued under such statutory provisions, in each case without diminuton in the value of the benefts granted hereby to the Grantee. Notwithstanding anything herein to the contrary, in the event the amounts payable under this Agreement are determined to consttute “nonqualifed deferred compensaton” subject to Secton 409A of the Code, then, to the extent the Grantee is a “specifed employee” under Secton 409A of the Code subject to the six-month delay thereunder, any such vestng or related payments to be made during the six-month period commencing on the Grantee’s “separaton from service” (as defned in Secton 409A of the Code) shall be delayed untl the expiraton of such six-month period.</w:t>
      </w:r>
    </w:p>
    <w:p>
      <w:pPr>
        <w:spacing w:after="0" w:line="217" w:lineRule="exact"/>
        <w:rPr>
          <w:rFonts w:ascii="Calibri" w:cs="Calibri" w:eastAsia="Calibri" w:hAnsi="Calibri"/>
          <w:sz w:val="22"/>
          <w:szCs w:val="22"/>
          <w:color w:val="010000"/>
        </w:rPr>
      </w:pPr>
    </w:p>
    <w:p>
      <w:pPr>
        <w:jc w:val="both"/>
        <w:ind w:firstLine="1304"/>
        <w:spacing w:after="0" w:line="231" w:lineRule="auto"/>
        <w:tabs>
          <w:tab w:leader="none" w:pos="1934" w:val="left"/>
        </w:tabs>
        <w:numPr>
          <w:ilvl w:val="0"/>
          <w:numId w:val="170"/>
        </w:numPr>
        <w:rPr>
          <w:rFonts w:ascii="Calibri" w:cs="Calibri" w:eastAsia="Calibri" w:hAnsi="Calibri"/>
          <w:sz w:val="22"/>
          <w:szCs w:val="22"/>
          <w:color w:val="010000"/>
        </w:rPr>
      </w:pPr>
      <w:r>
        <w:rPr>
          <w:rFonts w:ascii="Calibri" w:cs="Calibri" w:eastAsia="Calibri" w:hAnsi="Calibri"/>
          <w:sz w:val="22"/>
          <w:szCs w:val="22"/>
          <w:u w:val="single" w:color="auto"/>
          <w:color w:val="auto"/>
        </w:rPr>
        <w:t>Complete Agreement</w:t>
      </w:r>
      <w:r>
        <w:rPr>
          <w:rFonts w:ascii="Calibri" w:cs="Calibri" w:eastAsia="Calibri" w:hAnsi="Calibri"/>
          <w:sz w:val="22"/>
          <w:szCs w:val="22"/>
          <w:color w:val="auto"/>
        </w:rPr>
        <w:t>. This Agreement (together with those agreements and documents expressly referred to herein, for the purposes referred to herein) embody the complete and entre agreement and understanding between the partes with respect to the subject mater hereof, and supersede any and all prior promises, assurances, commitments, agreements, undertakings or representatons, whether oral, writen, electronic or otherwise, and whether express or implied, which may relate to the subject mater hereof in any way.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22"/>
          <w:szCs w:val="22"/>
          <w:i w:val="1"/>
          <w:iCs w:val="1"/>
          <w:color w:val="auto"/>
        </w:rPr>
        <w:t>[signature page follows]</w:t>
      </w:r>
    </w:p>
    <w:p>
      <w:pPr>
        <w:sectPr>
          <w:pgSz w:w="11900" w:h="16838" w:orient="portrait"/>
          <w:cols w:equalWidth="0" w:num="1">
            <w:col w:w="11240"/>
          </w:cols>
          <w:pgMar w:left="320" w:top="1407" w:right="339" w:bottom="1440" w:gutter="0" w:footer="0" w:header="0"/>
        </w:sectPr>
      </w:pPr>
    </w:p>
    <w:bookmarkStart w:id="150" w:name="page151"/>
    <w:bookmarkEnd w:id="150"/>
    <w:p>
      <w:pPr>
        <w:spacing w:after="0" w:line="395" w:lineRule="exact"/>
        <w:rPr>
          <w:sz w:val="20"/>
          <w:szCs w:val="20"/>
          <w:color w:val="auto"/>
        </w:rPr>
      </w:pPr>
    </w:p>
    <w:p>
      <w:pPr>
        <w:ind w:left="660"/>
        <w:spacing w:after="0"/>
        <w:rPr>
          <w:sz w:val="20"/>
          <w:szCs w:val="20"/>
          <w:color w:val="auto"/>
        </w:rPr>
      </w:pPr>
      <w:r>
        <w:rPr>
          <w:rFonts w:ascii="Calibri" w:cs="Calibri" w:eastAsia="Calibri" w:hAnsi="Calibri"/>
          <w:sz w:val="21"/>
          <w:szCs w:val="21"/>
          <w:color w:val="auto"/>
        </w:rPr>
        <w:t>IN WITNESS WHEREOF, the undersigned have caused this Award Agreement to be executed as of the 1</w:t>
      </w:r>
      <w:r>
        <w:rPr>
          <w:rFonts w:ascii="Calibri" w:cs="Calibri" w:eastAsia="Calibri" w:hAnsi="Calibri"/>
          <w:sz w:val="27"/>
          <w:szCs w:val="27"/>
          <w:color w:val="auto"/>
          <w:vertAlign w:val="superscript"/>
        </w:rPr>
        <w:t>st</w:t>
      </w:r>
      <w:r>
        <w:rPr>
          <w:rFonts w:ascii="Calibri" w:cs="Calibri" w:eastAsia="Calibri" w:hAnsi="Calibri"/>
          <w:sz w:val="21"/>
          <w:szCs w:val="21"/>
          <w:color w:val="auto"/>
        </w:rPr>
        <w:t xml:space="preserve"> day of March,</w:t>
      </w:r>
    </w:p>
    <w:p>
      <w:pPr>
        <w:spacing w:after="0" w:line="193" w:lineRule="auto"/>
        <w:rPr>
          <w:sz w:val="20"/>
          <w:szCs w:val="20"/>
          <w:color w:val="auto"/>
        </w:rPr>
      </w:pPr>
      <w:r>
        <w:rPr>
          <w:rFonts w:ascii="Calibri" w:cs="Calibri" w:eastAsia="Calibri" w:hAnsi="Calibri"/>
          <w:sz w:val="22"/>
          <w:szCs w:val="22"/>
          <w:color w:val="auto"/>
        </w:rPr>
        <w:t>2024.</w:t>
      </w:r>
    </w:p>
    <w:p>
      <w:pPr>
        <w:spacing w:after="0" w:line="242" w:lineRule="exact"/>
        <w:rPr>
          <w:sz w:val="20"/>
          <w:szCs w:val="20"/>
          <w:color w:val="auto"/>
        </w:rPr>
      </w:pPr>
    </w:p>
    <w:p>
      <w:pPr>
        <w:ind w:left="720"/>
        <w:spacing w:after="0"/>
        <w:rPr>
          <w:sz w:val="20"/>
          <w:szCs w:val="20"/>
          <w:color w:val="auto"/>
        </w:rPr>
      </w:pPr>
      <w:r>
        <w:rPr>
          <w:rFonts w:ascii="Calibri" w:cs="Calibri" w:eastAsia="Calibri" w:hAnsi="Calibri"/>
          <w:sz w:val="22"/>
          <w:szCs w:val="22"/>
          <w:color w:val="auto"/>
        </w:rPr>
        <w:t>THE MACERICH COMPANY</w:t>
      </w:r>
    </w:p>
    <w:p>
      <w:pPr>
        <w:spacing w:after="0" w:line="1" w:lineRule="exact"/>
        <w:rPr>
          <w:sz w:val="20"/>
          <w:szCs w:val="20"/>
          <w:color w:val="auto"/>
        </w:rPr>
      </w:pPr>
    </w:p>
    <w:p>
      <w:pPr>
        <w:ind w:left="720"/>
        <w:spacing w:after="0"/>
        <w:rPr>
          <w:sz w:val="20"/>
          <w:szCs w:val="20"/>
          <w:color w:val="auto"/>
        </w:rPr>
      </w:pPr>
      <w:r>
        <w:rPr>
          <w:rFonts w:ascii="Calibri" w:cs="Calibri" w:eastAsia="Calibri" w:hAnsi="Calibri"/>
          <w:sz w:val="22"/>
          <w:szCs w:val="22"/>
          <w:color w:val="auto"/>
        </w:rPr>
        <w:t>By:</w:t>
      </w:r>
    </w:p>
    <w:p>
      <w:pPr>
        <w:spacing w:after="0" w:line="200" w:lineRule="exact"/>
        <w:rPr>
          <w:sz w:val="20"/>
          <w:szCs w:val="20"/>
          <w:color w:val="auto"/>
        </w:rPr>
      </w:pPr>
    </w:p>
    <w:p>
      <w:pPr>
        <w:spacing w:after="0" w:line="330" w:lineRule="exact"/>
        <w:rPr>
          <w:sz w:val="20"/>
          <w:szCs w:val="20"/>
          <w:color w:val="auto"/>
        </w:rPr>
      </w:pPr>
    </w:p>
    <w:p>
      <w:pPr>
        <w:ind w:left="720"/>
        <w:spacing w:after="0"/>
        <w:rPr>
          <w:sz w:val="20"/>
          <w:szCs w:val="20"/>
          <w:color w:val="auto"/>
        </w:rPr>
      </w:pPr>
      <w:r>
        <w:rPr>
          <w:rFonts w:ascii="Calibri" w:cs="Calibri" w:eastAsia="Calibri" w:hAnsi="Calibri"/>
          <w:sz w:val="22"/>
          <w:szCs w:val="22"/>
          <w:color w:val="auto"/>
        </w:rPr>
        <w:t>THE MACERICH PARTNERSHIP, L.P.</w:t>
      </w:r>
    </w:p>
    <w:p>
      <w:pPr>
        <w:spacing w:after="0" w:line="13" w:lineRule="exact"/>
        <w:rPr>
          <w:sz w:val="20"/>
          <w:szCs w:val="20"/>
          <w:color w:val="auto"/>
        </w:rPr>
      </w:pPr>
    </w:p>
    <w:p>
      <w:pPr>
        <w:ind w:left="720"/>
        <w:spacing w:after="0"/>
        <w:tabs>
          <w:tab w:leader="none" w:pos="1220" w:val="left"/>
        </w:tabs>
        <w:rPr>
          <w:sz w:val="20"/>
          <w:szCs w:val="20"/>
          <w:color w:val="auto"/>
        </w:rPr>
      </w:pPr>
      <w:r>
        <w:rPr>
          <w:rFonts w:ascii="Calibri" w:cs="Calibri" w:eastAsia="Calibri" w:hAnsi="Calibri"/>
          <w:sz w:val="22"/>
          <w:szCs w:val="22"/>
          <w:color w:val="auto"/>
        </w:rPr>
        <w:t>By:</w:t>
        <w:tab/>
        <w:t>The Macerich Company,</w:t>
      </w:r>
    </w:p>
    <w:p>
      <w:pPr>
        <w:spacing w:after="0" w:line="1" w:lineRule="exact"/>
        <w:rPr>
          <w:sz w:val="20"/>
          <w:szCs w:val="20"/>
          <w:color w:val="auto"/>
        </w:rPr>
      </w:pPr>
    </w:p>
    <w:p>
      <w:pPr>
        <w:ind w:left="1360"/>
        <w:spacing w:after="0"/>
        <w:rPr>
          <w:sz w:val="20"/>
          <w:szCs w:val="20"/>
          <w:color w:val="auto"/>
        </w:rPr>
      </w:pPr>
      <w:r>
        <w:rPr>
          <w:rFonts w:ascii="Calibri" w:cs="Calibri" w:eastAsia="Calibri" w:hAnsi="Calibri"/>
          <w:sz w:val="22"/>
          <w:szCs w:val="22"/>
          <w:color w:val="auto"/>
        </w:rPr>
        <w:t>its general partner</w:t>
      </w:r>
    </w:p>
    <w:p>
      <w:pPr>
        <w:spacing w:after="0" w:line="200" w:lineRule="exact"/>
        <w:rPr>
          <w:sz w:val="20"/>
          <w:szCs w:val="20"/>
          <w:color w:val="auto"/>
        </w:rPr>
      </w:pPr>
    </w:p>
    <w:p>
      <w:pPr>
        <w:spacing w:after="0" w:line="343" w:lineRule="exact"/>
        <w:rPr>
          <w:sz w:val="20"/>
          <w:szCs w:val="20"/>
          <w:color w:val="auto"/>
        </w:rPr>
      </w:pPr>
    </w:p>
    <w:p>
      <w:pPr>
        <w:ind w:left="720"/>
        <w:spacing w:after="0"/>
        <w:rPr>
          <w:sz w:val="20"/>
          <w:szCs w:val="20"/>
          <w:color w:val="auto"/>
        </w:rPr>
      </w:pPr>
      <w:r>
        <w:rPr>
          <w:rFonts w:ascii="Calibri" w:cs="Calibri" w:eastAsia="Calibri" w:hAnsi="Calibri"/>
          <w:sz w:val="22"/>
          <w:szCs w:val="22"/>
          <w:color w:val="auto"/>
        </w:rPr>
        <w:t>By:</w:t>
      </w:r>
    </w:p>
    <w:p>
      <w:pPr>
        <w:spacing w:after="0" w:line="200" w:lineRule="exact"/>
        <w:rPr>
          <w:sz w:val="20"/>
          <w:szCs w:val="20"/>
          <w:color w:val="auto"/>
        </w:rPr>
      </w:pPr>
    </w:p>
    <w:p>
      <w:pPr>
        <w:spacing w:after="0" w:line="328" w:lineRule="exact"/>
        <w:rPr>
          <w:sz w:val="20"/>
          <w:szCs w:val="20"/>
          <w:color w:val="auto"/>
        </w:rPr>
      </w:pPr>
    </w:p>
    <w:p>
      <w:pPr>
        <w:ind w:left="720"/>
        <w:spacing w:after="0"/>
        <w:rPr>
          <w:sz w:val="20"/>
          <w:szCs w:val="20"/>
          <w:color w:val="auto"/>
        </w:rPr>
      </w:pPr>
      <w:r>
        <w:rPr>
          <w:rFonts w:ascii="Calibri" w:cs="Calibri" w:eastAsia="Calibri" w:hAnsi="Calibri"/>
          <w:sz w:val="22"/>
          <w:szCs w:val="22"/>
          <w:color w:val="auto"/>
        </w:rPr>
        <w:t>GRANTEE</w:t>
      </w:r>
    </w:p>
    <w:p>
      <w:pPr>
        <w:sectPr>
          <w:pgSz w:w="11900" w:h="16838" w:orient="portrait"/>
          <w:cols w:equalWidth="0" w:num="1">
            <w:col w:w="11240"/>
          </w:cols>
          <w:pgMar w:left="320" w:top="1440" w:right="339" w:bottom="1440" w:gutter="0" w:footer="0" w:header="0"/>
        </w:sectPr>
      </w:pPr>
    </w:p>
    <w:bookmarkStart w:id="151" w:name="page152"/>
    <w:bookmarkEnd w:id="151"/>
    <w:p>
      <w:pPr>
        <w:ind w:left="4540"/>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800225" cy="360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18002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 2024</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PERSONAL AND CONFIDENTIAL</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Edward C. Coppola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Scott F. Ellis, Esq.</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Scott.Ellis@gtlaw.com</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u w:val="single" w:color="auto"/>
          <w:color w:val="auto"/>
        </w:rPr>
        <w:t>Retirement Agreement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Ed:</w:t>
      </w:r>
    </w:p>
    <w:p>
      <w:pPr>
        <w:spacing w:after="0" w:line="22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between you and The Macerich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Under the terms of this Agreement, you will resign as President of the Company, effective on February 29, 2024, and thereafter receive certain payments and benefits in connection with your resignation as President and retirement from the Company. The Company’s offer of this Agreement replaces its proposal of an agreement in a letter to you dated January 22, 2024 (the “</w:t>
      </w:r>
      <w:r>
        <w:rPr>
          <w:rFonts w:ascii="Times New Roman" w:cs="Times New Roman" w:eastAsia="Times New Roman" w:hAnsi="Times New Roman"/>
          <w:sz w:val="22"/>
          <w:szCs w:val="22"/>
          <w:u w:val="single" w:color="auto"/>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Proposal</w:t>
      </w:r>
      <w:r>
        <w:rPr>
          <w:rFonts w:ascii="Times New Roman" w:cs="Times New Roman" w:eastAsia="Times New Roman" w:hAnsi="Times New Roman"/>
          <w:sz w:val="22"/>
          <w:szCs w:val="22"/>
          <w:color w:val="auto"/>
        </w:rPr>
        <w:t>”). Specifically, in exchange for the mutual promises in this Agreement, you and the Company hereby agree as follows:</w:t>
      </w:r>
    </w:p>
    <w:p>
      <w:pPr>
        <w:spacing w:after="0" w:line="177" w:lineRule="exact"/>
        <w:rPr>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Resignation and Retirement from Employment</w:t>
      </w:r>
    </w:p>
    <w:p>
      <w:pPr>
        <w:spacing w:after="0" w:line="224" w:lineRule="exact"/>
        <w:rPr>
          <w:sz w:val="20"/>
          <w:szCs w:val="20"/>
          <w:color w:val="auto"/>
        </w:rPr>
      </w:pPr>
    </w:p>
    <w:p>
      <w:pPr>
        <w:ind w:firstLine="8"/>
        <w:spacing w:after="0" w:line="251" w:lineRule="auto"/>
        <w:tabs>
          <w:tab w:leader="none" w:pos="45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of Resignation and Retirement Notice</w:t>
      </w:r>
      <w:r>
        <w:rPr>
          <w:rFonts w:ascii="Times New Roman" w:cs="Times New Roman" w:eastAsia="Times New Roman" w:hAnsi="Times New Roman"/>
          <w:sz w:val="22"/>
          <w:szCs w:val="22"/>
          <w:color w:val="auto"/>
        </w:rPr>
        <w:t>. You agree that if you have not done so before then, you shall, no later than February 21, 2024, sign and submit to the Chairman of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 notice in the form of the enclosed “Resignation and Retirement of Edward C. Coppola” (the “</w:t>
      </w:r>
      <w:r>
        <w:rPr>
          <w:rFonts w:ascii="Times New Roman" w:cs="Times New Roman" w:eastAsia="Times New Roman" w:hAnsi="Times New Roman"/>
          <w:sz w:val="22"/>
          <w:szCs w:val="22"/>
          <w:u w:val="single" w:color="auto"/>
          <w:color w:val="auto"/>
        </w:rPr>
        <w:t>Retirement Notice</w:t>
      </w:r>
      <w:r>
        <w:rPr>
          <w:rFonts w:ascii="Times New Roman" w:cs="Times New Roman" w:eastAsia="Times New Roman" w:hAnsi="Times New Roman"/>
          <w:sz w:val="22"/>
          <w:szCs w:val="22"/>
          <w:color w:val="auto"/>
        </w:rPr>
        <w:t>”), pursuant to which you shall resign as President of the Company, from your employment with the Company and from all other capacities in which you serve the Company or any affiliates, effective on February 29, 2024 (the “</w:t>
      </w:r>
      <w:r>
        <w:rPr>
          <w:rFonts w:ascii="Times New Roman" w:cs="Times New Roman" w:eastAsia="Times New Roman" w:hAnsi="Times New Roman"/>
          <w:sz w:val="22"/>
          <w:szCs w:val="22"/>
          <w:u w:val="single" w:color="auto"/>
          <w:color w:val="auto"/>
        </w:rPr>
        <w:t>Retirement Date</w:t>
      </w:r>
      <w:r>
        <w:rPr>
          <w:rFonts w:ascii="Times New Roman" w:cs="Times New Roman" w:eastAsia="Times New Roman" w:hAnsi="Times New Roman"/>
          <w:sz w:val="22"/>
          <w:szCs w:val="22"/>
          <w:color w:val="auto"/>
        </w:rPr>
        <w:t>”), except that, as provided in the Retirement Notice, you shall not be resigning from your position as a member of the Board.</w:t>
      </w:r>
    </w:p>
    <w:p>
      <w:pPr>
        <w:spacing w:after="0" w:line="194" w:lineRule="exact"/>
        <w:rPr>
          <w:rFonts w:ascii="Times New Roman" w:cs="Times New Roman" w:eastAsia="Times New Roman" w:hAnsi="Times New Roman"/>
          <w:sz w:val="22"/>
          <w:szCs w:val="22"/>
          <w:color w:val="auto"/>
        </w:rPr>
      </w:pPr>
    </w:p>
    <w:p>
      <w:pPr>
        <w:ind w:right="120" w:firstLine="8"/>
        <w:spacing w:after="0" w:line="252" w:lineRule="auto"/>
        <w:tabs>
          <w:tab w:leader="none" w:pos="46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Salary and Benefits to Retirement Date</w:t>
      </w:r>
      <w:r>
        <w:rPr>
          <w:rFonts w:ascii="Times New Roman" w:cs="Times New Roman" w:eastAsia="Times New Roman" w:hAnsi="Times New Roman"/>
          <w:sz w:val="22"/>
          <w:szCs w:val="22"/>
          <w:color w:val="auto"/>
        </w:rPr>
        <w:t>. To the extent that any salary remains due to you for the period through the Retirement Date, the Company shall pay such remaining salary. You acknowledge that as of the Company’s most recent payroll payment of salary to you, you were fully paid for all salary then due to you. To the extent that you have rights under any Company “employee benefit plans” (as defined in Section 3(3) of the Employee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401 Wilshire Boulevard, Suite 700</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Santa Monica, CA 90401-1452</w:t>
      </w:r>
    </w:p>
    <w:p>
      <w:pPr>
        <w:spacing w:after="0" w:line="10" w:lineRule="exact"/>
        <w:rPr>
          <w:sz w:val="20"/>
          <w:szCs w:val="20"/>
          <w:color w:val="auto"/>
        </w:rPr>
      </w:pPr>
    </w:p>
    <w:p>
      <w:pPr>
        <w:ind w:left="460" w:right="8540" w:firstLine="7"/>
        <w:spacing w:after="0" w:line="276" w:lineRule="auto"/>
        <w:tabs>
          <w:tab w:leader="none" w:pos="626"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310.394.6000 / www.macerich.com / NYSE: MAC</w:t>
      </w:r>
    </w:p>
    <w:p>
      <w:pPr>
        <w:sectPr>
          <w:pgSz w:w="11900" w:h="16838" w:orient="portrait"/>
          <w:cols w:equalWidth="0" w:num="1">
            <w:col w:w="11180"/>
          </w:cols>
          <w:pgMar w:left="320" w:top="1417" w:right="399" w:bottom="1440" w:gutter="0" w:footer="0" w:header="0"/>
        </w:sectPr>
      </w:pPr>
    </w:p>
    <w:bookmarkStart w:id="152" w:name="page153"/>
    <w:bookmarkEnd w:id="152"/>
    <w:p>
      <w:pPr>
        <w:ind w:right="340"/>
        <w:spacing w:after="0" w:line="257" w:lineRule="auto"/>
        <w:rPr>
          <w:sz w:val="20"/>
          <w:szCs w:val="20"/>
          <w:color w:val="auto"/>
        </w:rPr>
      </w:pPr>
      <w:r>
        <w:rPr>
          <w:rFonts w:ascii="Times New Roman" w:cs="Times New Roman" w:eastAsia="Times New Roman" w:hAnsi="Times New Roman"/>
          <w:sz w:val="22"/>
          <w:szCs w:val="22"/>
          <w:color w:val="auto"/>
        </w:rPr>
        <w:t>Income Security Act) based upon your employment to and including the Retirement Date, including without limitation post-employment group health plan continuation rights under the law known as COBRA, nothing in this Agreement shall be considered to limit any such employee benefit plan rights.</w:t>
      </w:r>
    </w:p>
    <w:p>
      <w:pPr>
        <w:spacing w:after="0" w:line="186" w:lineRule="exact"/>
        <w:rPr>
          <w:sz w:val="20"/>
          <w:szCs w:val="20"/>
          <w:color w:val="auto"/>
        </w:rPr>
      </w:pPr>
    </w:p>
    <w:p>
      <w:pPr>
        <w:ind w:right="20" w:firstLine="8"/>
        <w:spacing w:after="0" w:line="252" w:lineRule="auto"/>
        <w:tabs>
          <w:tab w:leader="none" w:pos="45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Rights</w:t>
      </w:r>
      <w:r>
        <w:rPr>
          <w:rFonts w:ascii="Times New Roman" w:cs="Times New Roman" w:eastAsia="Times New Roman" w:hAnsi="Times New Roman"/>
          <w:sz w:val="22"/>
          <w:szCs w:val="22"/>
          <w:color w:val="auto"/>
        </w:rPr>
        <w:t>. The Company acknowledges that you are entitled to equity in the Company subject to the terms of grants to you, which are summarized as of January 8, 2024 in the enclosed document entitled “Ed Coppola OP Units/LTIP Units/RSU History As of January 8, 2024” (the “</w:t>
      </w:r>
      <w:r>
        <w:rPr>
          <w:rFonts w:ascii="Times New Roman" w:cs="Times New Roman" w:eastAsia="Times New Roman" w:hAnsi="Times New Roman"/>
          <w:sz w:val="22"/>
          <w:szCs w:val="22"/>
          <w:u w:val="single" w:color="auto"/>
          <w:color w:val="auto"/>
        </w:rPr>
        <w:t>Equity Summary</w:t>
      </w:r>
      <w:r>
        <w:rPr>
          <w:rFonts w:ascii="Times New Roman" w:cs="Times New Roman" w:eastAsia="Times New Roman" w:hAnsi="Times New Roman"/>
          <w:sz w:val="22"/>
          <w:szCs w:val="22"/>
          <w:color w:val="auto"/>
        </w:rPr>
        <w:t>”). All such grants are subject to the terms of the applicable grant documents and equity plans (“</w:t>
      </w:r>
      <w:r>
        <w:rPr>
          <w:rFonts w:ascii="Times New Roman" w:cs="Times New Roman" w:eastAsia="Times New Roman" w:hAnsi="Times New Roman"/>
          <w:sz w:val="22"/>
          <w:szCs w:val="22"/>
          <w:u w:val="single" w:color="auto"/>
          <w:color w:val="auto"/>
        </w:rPr>
        <w:t>Equity Rights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hanging="652"/>
        <w:spacing w:after="0"/>
        <w:tabs>
          <w:tab w:leader="none" w:pos="660"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Incentive Bonus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were given a target annual incentive bonus opportunity of 200% of your annual base salary with respect to 2023, subject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possibility that an actual annual incentive bonus payment could range from 0% to 200% of the target level. Notwithstanding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that the Company does not have a practice of making annual incentive bonus payments to executives who are not employed 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date of payment, the Company shall pay you an annual incentive bonus payment with respect to 2023 based on a target level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200% of your final annual base salary rate of $800,000 on or about the date when it makes annual incentive bonus payments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2023 generally to actively employed executive officers at the Company. In determining such annual incentive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bonus payment, 75% of the payment shall be based on the determination by the Compensation Committee of the Board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based on the Company’s established scorecard of financial and strategic objectives against which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is to be evaluated to determine annual incentive bonus payment amounts. The remaining 25%, consisting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individual performance component, will be paid based on an achievement level of 200%. For the avoidance of doubt, based 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agreed 200% target level and the agreed 200% achievement level with respect to the individual performance component,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individual performance component shall equal $800,000, and your full gross total of your annual incentive bonus payment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 to 2023 shall not be less than $2,000,000. Without limiting by implication the applicability of Section 13(a) of this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to other provisions of this Agreement, the Company’s payment obligation pursuant to Section 2 is subject to such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13(a).</w:t>
      </w:r>
    </w:p>
    <w:p>
      <w:pPr>
        <w:spacing w:after="0" w:line="192"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Supplemental Payment</w:t>
      </w:r>
    </w:p>
    <w:p>
      <w:pPr>
        <w:spacing w:after="0" w:line="2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No later than February 29, 2024, the Company shall pay you a lump sum amount equal to the total of 36 months of payments of post-employment group health plan continuation premiums at your current types and levels of coverage based on the current COBRA premium rates. For the avoidance of doubt, such payment shall be subject to deductions and withholdings applicable to Form W-2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00"/>
          </w:cols>
          <w:pgMar w:left="320" w:top="1422" w:right="479" w:bottom="1440" w:gutter="0" w:footer="0" w:header="0"/>
        </w:sectPr>
      </w:pPr>
    </w:p>
    <w:bookmarkStart w:id="153" w:name="page154"/>
    <w:bookmarkEnd w:id="153"/>
    <w:p>
      <w:pPr>
        <w:ind w:left="660" w:hanging="652"/>
        <w:spacing w:after="0"/>
        <w:tabs>
          <w:tab w:leader="none" w:pos="66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Administrative Support</w:t>
      </w:r>
    </w:p>
    <w:p>
      <w:pPr>
        <w:spacing w:after="0" w:line="224" w:lineRule="exact"/>
        <w:rPr>
          <w:sz w:val="20"/>
          <w:szCs w:val="20"/>
          <w:color w:val="auto"/>
        </w:rPr>
      </w:pPr>
    </w:p>
    <w:p>
      <w:pPr>
        <w:ind w:right="500" w:firstLine="8"/>
        <w:spacing w:after="0" w:line="263" w:lineRule="auto"/>
        <w:tabs>
          <w:tab w:leader="none" w:pos="4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Family Office Subsidy</w:t>
      </w:r>
      <w:r>
        <w:rPr>
          <w:rFonts w:ascii="Times New Roman" w:cs="Times New Roman" w:eastAsia="Times New Roman" w:hAnsi="Times New Roman"/>
          <w:sz w:val="22"/>
          <w:szCs w:val="22"/>
          <w:color w:val="auto"/>
        </w:rPr>
        <w:t>. For each calendar month from February 2024 to December 2024, the Company shall issue a payment to you of $5,000, based on the understanding that you shall use the net amount of such payments to defray costs of administrative support for your family office.</w:t>
      </w:r>
    </w:p>
    <w:p>
      <w:pPr>
        <w:spacing w:after="0" w:line="167" w:lineRule="exact"/>
        <w:rPr>
          <w:rFonts w:ascii="Times New Roman" w:cs="Times New Roman" w:eastAsia="Times New Roman" w:hAnsi="Times New Roman"/>
          <w:sz w:val="22"/>
          <w:szCs w:val="22"/>
          <w:color w:val="auto"/>
        </w:rPr>
      </w:pPr>
    </w:p>
    <w:p>
      <w:pPr>
        <w:ind w:firstLine="8"/>
        <w:spacing w:after="0" w:line="248" w:lineRule="auto"/>
        <w:tabs>
          <w:tab w:leader="none" w:pos="46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Assistant Support</w:t>
      </w:r>
      <w:r>
        <w:rPr>
          <w:rFonts w:ascii="Times New Roman" w:cs="Times New Roman" w:eastAsia="Times New Roman" w:hAnsi="Times New Roman"/>
          <w:sz w:val="22"/>
          <w:szCs w:val="22"/>
          <w:color w:val="auto"/>
        </w:rPr>
        <w:t xml:space="preserve">. The Company shall assign your current administrative assistant, Sharon Murdock, to provide administrative support exclusively for you, commencing immediately following the Retirement Date. The Company shall continue Ms. Murdock’s employment in such capacity, including her current pay and benefits (subject to any generally applicable benefit plan changes), until June 30, 2025;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Ms. Murdock does not resign from employment; (ii) the Company does not terminate Ms. Murdock’s employment for Cause; and (iii) you choose to continue to utilize her services.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means making statements or engaging in other actions that denigrate the Company or otherwise are contrary to its interests, including without limitation accessing or disclosing Company confidential information without authorization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Cause shall not include actions by Ms. Murdock that you would be permitted to undertake in accordance with the first sentence of Section 12.</w:t>
      </w:r>
    </w:p>
    <w:p>
      <w:pPr>
        <w:spacing w:after="0" w:line="185" w:lineRule="exact"/>
        <w:rPr>
          <w:rFonts w:ascii="Times New Roman" w:cs="Times New Roman" w:eastAsia="Times New Roman" w:hAnsi="Times New Roman"/>
          <w:sz w:val="22"/>
          <w:szCs w:val="22"/>
          <w:color w:val="auto"/>
        </w:rPr>
      </w:pPr>
    </w:p>
    <w:p>
      <w:pPr>
        <w:ind w:right="380" w:firstLine="8"/>
        <w:spacing w:after="0" w:line="256" w:lineRule="auto"/>
        <w:tabs>
          <w:tab w:leader="none" w:pos="45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 and Technology Transition Support</w:t>
      </w:r>
      <w:r>
        <w:rPr>
          <w:rFonts w:ascii="Times New Roman" w:cs="Times New Roman" w:eastAsia="Times New Roman" w:hAnsi="Times New Roman"/>
          <w:sz w:val="22"/>
          <w:szCs w:val="22"/>
          <w:color w:val="auto"/>
        </w:rPr>
        <w:t>. During the period from the Effective Date to August 31, 2024, the Company shall provide you with access to technology support at reasonable times to give you reasonable assistance to transition your remote information technology systems access to remote access for your family office and/or other noncompetitive business purposes.</w:t>
      </w:r>
    </w:p>
    <w:p>
      <w:pPr>
        <w:spacing w:after="0" w:line="172"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Rights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extent that any agreement with respect to Equity Rights provides you with an opportunity to receive accelerated vesting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is conditioned on your agreement to a customary release of claims and/or a covenant not to solicit employees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Acceleration Conditions</w:t>
      </w:r>
      <w:r>
        <w:rPr>
          <w:rFonts w:ascii="Times New Roman" w:cs="Times New Roman" w:eastAsia="Times New Roman" w:hAnsi="Times New Roman"/>
          <w:sz w:val="22"/>
          <w:szCs w:val="22"/>
          <w:color w:val="auto"/>
        </w:rPr>
        <w:t>”), you shall be entitled to such accelerated vesting upon the Retirement Date. For the purpose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obtaining enhanced vesting terms to the extent applicable under any agreement concerning Equity Rights, the termination of your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employment shall be considered to be a “Retirement.”</w:t>
      </w:r>
    </w:p>
    <w:p>
      <w:pPr>
        <w:spacing w:after="0" w:line="192" w:lineRule="exact"/>
        <w:rPr>
          <w:sz w:val="20"/>
          <w:szCs w:val="20"/>
          <w:color w:val="auto"/>
        </w:rPr>
      </w:pPr>
    </w:p>
    <w:p>
      <w:pPr>
        <w:ind w:left="660" w:hanging="652"/>
        <w:spacing w:after="0"/>
        <w:tabs>
          <w:tab w:leader="none" w:pos="66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 Not to Solicit Employees</w:t>
      </w:r>
    </w:p>
    <w:p>
      <w:pPr>
        <w:spacing w:after="0" w:line="237" w:lineRule="exact"/>
        <w:rPr>
          <w:sz w:val="20"/>
          <w:szCs w:val="20"/>
          <w:color w:val="auto"/>
        </w:rPr>
      </w:pPr>
    </w:p>
    <w:p>
      <w:pPr>
        <w:jc w:val="both"/>
        <w:ind w:right="60"/>
        <w:spacing w:after="0" w:line="295" w:lineRule="auto"/>
        <w:rPr>
          <w:sz w:val="20"/>
          <w:szCs w:val="20"/>
          <w:color w:val="auto"/>
        </w:rPr>
      </w:pPr>
      <w:r>
        <w:rPr>
          <w:rFonts w:ascii="Times New Roman" w:cs="Times New Roman" w:eastAsia="Times New Roman" w:hAnsi="Times New Roman"/>
          <w:sz w:val="21"/>
          <w:szCs w:val="21"/>
          <w:color w:val="auto"/>
        </w:rPr>
        <w:t>You agree that for the period until the two (2) year anniversary of the Retirement Date, you shall not employ, attempt to employ, recruit or otherwise solicit, induce or influence any person, other than Sharon Murdock, to leave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18" w:right="359" w:bottom="1440" w:gutter="0" w:footer="0" w:header="0"/>
        </w:sectPr>
      </w:pPr>
    </w:p>
    <w:bookmarkStart w:id="154" w:name="page155"/>
    <w:bookmarkEnd w:id="154"/>
    <w:p>
      <w:pPr>
        <w:ind w:left="660" w:hanging="652"/>
        <w:spacing w:after="0"/>
        <w:tabs>
          <w:tab w:leader="none" w:pos="66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Vacating of Office; Return of Property</w:t>
      </w:r>
    </w:p>
    <w:p>
      <w:pPr>
        <w:spacing w:after="0" w:line="22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2"/>
          <w:szCs w:val="22"/>
          <w:color w:val="auto"/>
        </w:rPr>
        <w:t>No later than the Retirement Date, you shall (i) remove all of your personal property from the Company’s Dallas, Texas office that you have been utilizing (the “</w:t>
      </w:r>
      <w:r>
        <w:rPr>
          <w:rFonts w:ascii="Times New Roman" w:cs="Times New Roman" w:eastAsia="Times New Roman" w:hAnsi="Times New Roman"/>
          <w:sz w:val="22"/>
          <w:szCs w:val="22"/>
          <w:u w:val="single" w:color="auto"/>
          <w:color w:val="auto"/>
        </w:rPr>
        <w:t>Office</w:t>
      </w:r>
      <w:r>
        <w:rPr>
          <w:rFonts w:ascii="Times New Roman" w:cs="Times New Roman" w:eastAsia="Times New Roman" w:hAnsi="Times New Roman"/>
          <w:sz w:val="22"/>
          <w:szCs w:val="22"/>
          <w:color w:val="auto"/>
        </w:rPr>
        <w:t xml:space="preserve">”); and (ii) return to the Company all Company property, including, without limitation, computer equipment and any documents (including electronic documents as well as hard copies) containing nonpublic information concerning the Company, its business or its business relationships. The Company understands that the desk, the attached return and the bookshelf in the Office are your personal property and therefore you may remove and retain them. To the extent that there is other furniture in the Office that you can demonstrate, to the Company’s reasonable satisfaction, is your personal property, you may remove such other furniture as well. The Company shall reimburse you for up to $5,000 in moving expenses for your removal and local transportation of any and all furniture in the Office that is your personal property. You also commit to deleting and finally purging any duplicates of files or documents that may contain nonpublic Company information from any computer or other device that remains your property after the Retirement Date. Notwithstanding the foregoing, you shall continue to have access to the Diligent Boards application for so long as you remain a member of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you shall not retain any documents or duplicates thereof to which you have access through Diligent Boards following the end of your Board service.</w:t>
      </w:r>
    </w:p>
    <w:p>
      <w:pPr>
        <w:spacing w:after="0" w:line="202"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w:t>
      </w:r>
    </w:p>
    <w:p>
      <w:pPr>
        <w:spacing w:after="0" w:line="224" w:lineRule="exact"/>
        <w:rPr>
          <w:sz w:val="20"/>
          <w:szCs w:val="20"/>
          <w:color w:val="auto"/>
        </w:rPr>
      </w:pPr>
    </w:p>
    <w:p>
      <w:pPr>
        <w:ind w:firstLine="8"/>
        <w:spacing w:after="0" w:line="248" w:lineRule="auto"/>
        <w:tabs>
          <w:tab w:leader="none" w:pos="45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You understand and agree that you have been employed in a position of confidence and trust and have had access to information concerning the Company that the Company treats as confidential and the disclosure of which could negatively affect the Company’s interests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Confidential Information includes, without limitation, confidential financial information; business forecasts; improvements and other intellectual property; trade secrets; marketing or sales information or plans; business contact lists; and business plans, prospects and opportunities. Subject to Section 12 below, you agree that you shall not use or disclose any Confidential Information at any time without the written consent of the Company. For the avoidance of doubt, pursuant to the federal Defend Trade Secrets Act of 2016, you shall not be held criminally or civilly liable under any federal or state trade secret law or under this Agreement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188" w:lineRule="exact"/>
        <w:rPr>
          <w:rFonts w:ascii="Times New Roman" w:cs="Times New Roman" w:eastAsia="Times New Roman" w:hAnsi="Times New Roman"/>
          <w:sz w:val="22"/>
          <w:szCs w:val="22"/>
          <w:color w:val="auto"/>
        </w:rPr>
      </w:pPr>
    </w:p>
    <w:p>
      <w:pPr>
        <w:ind w:right="180" w:firstLine="8"/>
        <w:spacing w:after="0" w:line="252" w:lineRule="auto"/>
        <w:tabs>
          <w:tab w:leader="none" w:pos="46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Communications</w:t>
      </w:r>
      <w:r>
        <w:rPr>
          <w:rFonts w:ascii="Times New Roman" w:cs="Times New Roman" w:eastAsia="Times New Roman" w:hAnsi="Times New Roman"/>
          <w:sz w:val="22"/>
          <w:szCs w:val="22"/>
          <w:color w:val="auto"/>
        </w:rPr>
        <w:t>. You and the Company agree not to make any public announcements in respect of this Agreement or the provisions herein or otherwise communicate with any news media in respect to this Agreement or the provisions herein without the prior written consent of the other party to this Agreement, other than to the extent that the Company reasonably determines that it is required to do so to comply with regulatory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18" w:right="359" w:bottom="1440" w:gutter="0" w:footer="0" w:header="0"/>
        </w:sectPr>
      </w:pPr>
    </w:p>
    <w:bookmarkStart w:id="155" w:name="page156"/>
    <w:bookmarkEnd w:id="155"/>
    <w:p>
      <w:pPr>
        <w:ind w:right="120"/>
        <w:spacing w:after="0" w:line="253" w:lineRule="auto"/>
        <w:rPr>
          <w:sz w:val="20"/>
          <w:szCs w:val="20"/>
          <w:color w:val="auto"/>
        </w:rPr>
      </w:pPr>
      <w:r>
        <w:rPr>
          <w:rFonts w:ascii="Times New Roman" w:cs="Times New Roman" w:eastAsia="Times New Roman" w:hAnsi="Times New Roman"/>
          <w:sz w:val="22"/>
          <w:szCs w:val="22"/>
          <w:color w:val="auto"/>
        </w:rPr>
        <w:t>requirements and other legal obligations, including without limitation by making disclosures to comply with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regulations and by responding to shareholder inquiries. Notwithstanding anything in the foregoing to the contrary, (i) the Company reserves the right to make a public filing of this Agreement with the SEC; and (ii) the Company reserves the right to issue a press release with statements concerning you that are substantially consistent with those in the draft of such release provided to you on February 1, 2024.</w:t>
      </w:r>
    </w:p>
    <w:p>
      <w:pPr>
        <w:spacing w:after="0" w:line="175"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Non-Disparagement</w:t>
      </w:r>
    </w:p>
    <w:p>
      <w:pPr>
        <w:spacing w:after="0" w:line="2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Subject to Section 12 below, you agree not to make any disparaging statements concerning the Company or any of its affiliates or concerning the products, services or current or former officers, directors, major shareholders, employees or agents of the Company or any of its affiliates. You represent that during the period since this Agreement was proposed to you, you have not made any such disparaging statements.</w:t>
      </w:r>
    </w:p>
    <w:p>
      <w:pPr>
        <w:spacing w:after="0" w:line="172"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Future Cooperation</w:t>
      </w:r>
    </w:p>
    <w:p>
      <w:pPr>
        <w:spacing w:after="0" w:line="22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You agree to cooperate reasonably with the Company and all of its affiliates (including its and their outside counsel) in connection with (i) the contemplation, prosecution and defense of all phases of existing, past and future litigation about which the Company believes you may have knowledge or information; and (ii) responding to requests for information from regulatory agencies or other governmental authorities (together “</w:t>
      </w:r>
      <w:r>
        <w:rPr>
          <w:rFonts w:ascii="Times New Roman" w:cs="Times New Roman" w:eastAsia="Times New Roman" w:hAnsi="Times New Roman"/>
          <w:sz w:val="22"/>
          <w:szCs w:val="22"/>
          <w:u w:val="single" w:color="auto"/>
          <w:color w:val="auto"/>
        </w:rPr>
        <w:t>Cooperation Services</w:t>
      </w:r>
      <w:r>
        <w:rPr>
          <w:rFonts w:ascii="Times New Roman" w:cs="Times New Roman" w:eastAsia="Times New Roman" w:hAnsi="Times New Roman"/>
          <w:sz w:val="22"/>
          <w:szCs w:val="22"/>
          <w:color w:val="auto"/>
        </w:rPr>
        <w:t xml:space="preserve">”). You further agree to make yourself available to provide Cooperation Services at mutually convenient times during and outside of regular business hours as reasonably deemed necessary by the Company’s counsel;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you shall not be required to travel to perform such obligations. The Company may require that you perform such Cooperation Services through a virtual meeting application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Zoom or Teams) or by telephone. The Company shall not utilize this section to require you to make yourself available to an extent that would unreasonably interfere with professional commitments that you may have. In addition, for all time that you reasonably expend in providing Cooperation Services requested by the Company, the Company shall compensate you at the rate of $1,200 per hour;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your right to such compensation shall not apply to time spent in activities that are or could be compelled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subpoena, including testimony and related attendance at depositions, hearings or trials.</w:t>
      </w:r>
    </w:p>
    <w:p>
      <w:pPr>
        <w:spacing w:after="0" w:line="180" w:lineRule="exact"/>
        <w:rPr>
          <w:sz w:val="20"/>
          <w:szCs w:val="20"/>
          <w:color w:val="auto"/>
        </w:rPr>
      </w:pPr>
    </w:p>
    <w:p>
      <w:pPr>
        <w:ind w:left="640" w:hanging="632"/>
        <w:spacing w:after="0"/>
        <w:tabs>
          <w:tab w:leader="none" w:pos="640" w:val="left"/>
        </w:tabs>
        <w:numPr>
          <w:ilvl w:val="0"/>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of Claims</w:t>
      </w:r>
    </w:p>
    <w:p>
      <w:pPr>
        <w:spacing w:after="0" w:line="23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In consideration for, among other terms, the Company’s promise to pay the annual incentive bonus payment pursuant to Section 2, your entitlement to which would otherwise be disputed, and the payments and support pursuant to Sections 3 and 4, you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1"/>
          <w:szCs w:val="21"/>
          <w:color w:val="auto"/>
        </w:rPr>
        <w:t>accountants and agents of each of the foregoing in their official and personal capacities (collectively referred to as the “</w:t>
      </w:r>
      <w:r>
        <w:rPr>
          <w:rFonts w:ascii="Times New Roman" w:cs="Times New Roman" w:eastAsia="Times New Roman" w:hAnsi="Times New Roman"/>
          <w:sz w:val="21"/>
          <w:szCs w:val="21"/>
          <w:u w:val="single" w:color="auto"/>
          <w:color w:val="auto"/>
        </w:rPr>
        <w:t>Released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generally from all claims, demands, debts, damages and liabilities of every name and nature, known or unknown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that, as of the date when you sign this Agreement, you have, ever had, now claim to have or ever claimed to have had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against any or all of the Released Parties. This release includes, without limitation, your release of all Claims:</w:t>
      </w:r>
    </w:p>
    <w:p>
      <w:pPr>
        <w:spacing w:after="0" w:line="207" w:lineRule="exact"/>
        <w:rPr>
          <w:sz w:val="20"/>
          <w:szCs w:val="20"/>
          <w:color w:val="auto"/>
        </w:rPr>
      </w:pPr>
    </w:p>
    <w:p>
      <w:pPr>
        <w:ind w:left="320" w:hanging="312"/>
        <w:spacing w:after="0"/>
        <w:tabs>
          <w:tab w:leader="none" w:pos="3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your employment by and retirement from employment with the Company;</w:t>
      </w:r>
    </w:p>
    <w:p>
      <w:pPr>
        <w:spacing w:after="0" w:line="2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wrongful discharge or violation of public policy;</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breach of contract;</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defamation or other torts;</w:t>
      </w:r>
    </w:p>
    <w:p>
      <w:pPr>
        <w:spacing w:after="0" w:line="5" w:lineRule="exact"/>
        <w:rPr>
          <w:rFonts w:ascii="Times New Roman" w:cs="Times New Roman" w:eastAsia="Times New Roman" w:hAnsi="Times New Roman"/>
          <w:sz w:val="22"/>
          <w:szCs w:val="22"/>
          <w:color w:val="auto"/>
        </w:rPr>
      </w:pPr>
    </w:p>
    <w:p>
      <w:pPr>
        <w:ind w:left="340" w:right="340" w:hanging="332"/>
        <w:spacing w:after="0" w:line="246" w:lineRule="auto"/>
        <w:tabs>
          <w:tab w:leader="none" w:pos="33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retaliation or discrimination under federal, state or local law (including, without limitation, Claims of discrimination or retaliation under the Age Discrimination in Employment Act, the Americans with Disabilities Act, Title VII of the Civil Rights Act of 1964, the California Fair Employment and Housing Act or Chapter 21 of the Texas Labor Code);</w:t>
      </w:r>
    </w:p>
    <w:p>
      <w:pPr>
        <w:spacing w:after="0" w:line="3" w:lineRule="exact"/>
        <w:rPr>
          <w:rFonts w:ascii="Times New Roman" w:cs="Times New Roman" w:eastAsia="Times New Roman" w:hAnsi="Times New Roman"/>
          <w:sz w:val="22"/>
          <w:szCs w:val="22"/>
          <w:color w:val="auto"/>
        </w:rPr>
      </w:pPr>
    </w:p>
    <w:p>
      <w:pPr>
        <w:ind w:left="340" w:right="240" w:hanging="332"/>
        <w:spacing w:after="0" w:line="254" w:lineRule="auto"/>
        <w:tabs>
          <w:tab w:leader="none" w:pos="335"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any other federal or state statute (including, without limitation, Claims under the Family and Medical Leave Act, the California Labor Code, the California Constitution, the California Family Rights Act or the Texas Anti-Retaliation Act);</w:t>
      </w:r>
    </w:p>
    <w:p>
      <w:pPr>
        <w:spacing w:after="0" w:line="1" w:lineRule="exact"/>
        <w:rPr>
          <w:rFonts w:ascii="Times New Roman" w:cs="Times New Roman" w:eastAsia="Times New Roman" w:hAnsi="Times New Roman"/>
          <w:sz w:val="21"/>
          <w:szCs w:val="21"/>
          <w:color w:val="auto"/>
        </w:rPr>
      </w:pPr>
    </w:p>
    <w:p>
      <w:pPr>
        <w:ind w:left="340" w:right="380" w:hanging="332"/>
        <w:spacing w:after="0" w:line="249" w:lineRule="auto"/>
        <w:tabs>
          <w:tab w:leader="none" w:pos="33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wages, bonuses, incentive compensation, vacation pay or any other compensation or benefits, to the fullest extent that such Claims may be released under state law; and</w:t>
      </w:r>
    </w:p>
    <w:p>
      <w:pPr>
        <w:spacing w:after="0" w:line="1" w:lineRule="exact"/>
        <w:rPr>
          <w:rFonts w:ascii="Times New Roman" w:cs="Times New Roman" w:eastAsia="Times New Roman" w:hAnsi="Times New Roman"/>
          <w:sz w:val="22"/>
          <w:szCs w:val="22"/>
          <w:color w:val="auto"/>
        </w:rPr>
      </w:pPr>
    </w:p>
    <w:p>
      <w:pPr>
        <w:ind w:left="340" w:right="860" w:hanging="332"/>
        <w:spacing w:after="0" w:line="248" w:lineRule="auto"/>
        <w:tabs>
          <w:tab w:leader="none" w:pos="33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damages or other remedies of any sort, including, without limitation, compensatory damages, punitive damages, injunctive relief and attorney’s fees;</w:t>
      </w:r>
    </w:p>
    <w:p>
      <w:pPr>
        <w:spacing w:after="0" w:line="20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this release shall not affect your rights under this Agreement, any agreement preserved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or any employee benefit plan.</w:t>
      </w:r>
    </w:p>
    <w:p>
      <w:pPr>
        <w:spacing w:after="0" w:line="19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21"/>
          <w:szCs w:val="21"/>
          <w:color w:val="auto"/>
        </w:rPr>
        <w:t>You acknowledge that you have been advised to consult with legal counsel and are familiar with the provisions of California Civil Code Section 1542, a statute that otherwise prohibits the release of unknown claims, which provides as follows: “A</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You hereby waive any rights you may have under the foregoing statute and under any other statute or common law principles of similar effect.</w:t>
      </w:r>
    </w:p>
    <w:p>
      <w:pPr>
        <w:spacing w:after="0" w:line="21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You agree not to accept damages of any nature, other equitable or legal remedies for your own benefit or attorney’s fees or costs from any of the Released Parties with respect to any Claim released by this Agreement. As a material inducement to the Company to enter into this Agreement, you represent that you have not assigned any Claim to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80"/>
          </w:cols>
          <w:pgMar w:left="320" w:top="1422" w:right="399" w:bottom="1440" w:gutter="0" w:footer="0" w:header="0"/>
        </w:sectPr>
      </w:pPr>
    </w:p>
    <w:bookmarkStart w:id="157" w:name="page158"/>
    <w:bookmarkEnd w:id="157"/>
    <w:p>
      <w:pPr>
        <w:ind w:left="660" w:hanging="652"/>
        <w:spacing w:after="0"/>
        <w:tabs>
          <w:tab w:leader="none" w:pos="660"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Protected Disclosures and Other Protected Actions</w:t>
      </w:r>
    </w:p>
    <w:p>
      <w:pPr>
        <w:spacing w:after="0" w:line="22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Nothing contained in this Agreement, any other agreement with the Company, or any Company policy or code limits your ability, with or without notice to the Company, to: (i) file a charge or complaint with any federal, state or local governmental agency or commission (a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including without limitation, the Equal Employment Opportunity Commission, the National Labor Relations Board or the SEC; (ii) communicate with any Government Agency or otherwise participate in any investigation or proceeding that may be conducted by any Government Agency, including by providing non-privileged documents or information; (iii) discuss or disclose information about unlawful acts in the workplace, such as harassment or discrimination or any other conduct that you have reason to believe is unlawful; or (iv) testify truthfully in a legal proceeding. Any such communications and disclosures must be consistent with applicable law and the information disclosed must not have been obtained through a communication that was subject to the attorney-client privilege (unless disclosure of that information would otherwise be permitted consistent with such privilege or applicable law). If a Government Agency or any other third party pursues any claim on your behalf, you waive any right to monetary or other individualized relief (either individually or as part of any collective or class action), but this does not apply to (and the Company shall not attempt in any way to limit) any right you may have to receive an award pursuant to the whistleblower provisions of any applicable law or regulation for providing information to the SEC or any other Government Agency.</w:t>
      </w:r>
    </w:p>
    <w:p>
      <w:pPr>
        <w:spacing w:after="0" w:line="184"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Provisions</w:t>
      </w:r>
    </w:p>
    <w:p>
      <w:pPr>
        <w:spacing w:after="0" w:line="224" w:lineRule="exact"/>
        <w:rPr>
          <w:sz w:val="20"/>
          <w:szCs w:val="20"/>
          <w:color w:val="auto"/>
        </w:rPr>
      </w:pPr>
    </w:p>
    <w:p>
      <w:pPr>
        <w:ind w:right="100" w:firstLine="8"/>
        <w:spacing w:after="0" w:line="249" w:lineRule="auto"/>
        <w:tabs>
          <w:tab w:leader="none" w:pos="645"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Payment Obligation</w:t>
      </w:r>
      <w:r>
        <w:rPr>
          <w:rFonts w:ascii="Times New Roman" w:cs="Times New Roman" w:eastAsia="Times New Roman" w:hAnsi="Times New Roman"/>
          <w:sz w:val="22"/>
          <w:szCs w:val="22"/>
          <w:color w:val="auto"/>
        </w:rPr>
        <w:t>. If you breach any of your obligations under this Agreement, in addition to any other legal or equitable remedies it may have for such breach, the Company shall have the right not to pay the amounts otherwise due pursuant to Sections 2, 3 and 4. If any such amount has been paid, you shall return such amount to the Company. Such non-payment or return of payment in the event of your breach shall not affect your continuing obligations under this Agreement. In the event that the Company determines to withhold any payment or to claim entitlement to return of any payment due to your breach of this Agreement, the Company shall give you notice of the basis for its contention that you have breached this Agreement and, if such breach is curable, the opportunity to cure it over a period of at least fourteen (14) days. If such breach is curable and is cured during such period, any withheld payment otherwise due shall then be paid.</w:t>
      </w:r>
    </w:p>
    <w:p>
      <w:pPr>
        <w:spacing w:after="0" w:line="195" w:lineRule="exact"/>
        <w:rPr>
          <w:rFonts w:ascii="Times New Roman" w:cs="Times New Roman" w:eastAsia="Times New Roman" w:hAnsi="Times New Roman"/>
          <w:sz w:val="22"/>
          <w:szCs w:val="22"/>
          <w:color w:val="auto"/>
        </w:rPr>
      </w:pPr>
    </w:p>
    <w:p>
      <w:pPr>
        <w:ind w:right="40" w:firstLine="8"/>
        <w:spacing w:after="0" w:line="257" w:lineRule="auto"/>
        <w:tabs>
          <w:tab w:leader="none" w:pos="64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The Company shall directly pay your attorney’s fees that you incur in connection with the negotiation of this Agreement, up to a maximum of $25,000, promptly after receipt of an invoice and a completed Form W-9 from your legal counsel.</w:t>
      </w:r>
    </w:p>
    <w:p>
      <w:pPr>
        <w:spacing w:after="0" w:line="172" w:lineRule="exact"/>
        <w:rPr>
          <w:rFonts w:ascii="Times New Roman" w:cs="Times New Roman" w:eastAsia="Times New Roman" w:hAnsi="Times New Roman"/>
          <w:sz w:val="22"/>
          <w:szCs w:val="22"/>
          <w:color w:val="auto"/>
        </w:rPr>
      </w:pPr>
    </w:p>
    <w:p>
      <w:pPr>
        <w:ind w:right="60" w:firstLine="8"/>
        <w:spacing w:after="0" w:line="257" w:lineRule="auto"/>
        <w:tabs>
          <w:tab w:leader="none" w:pos="645"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Any payments made by the Company pursuant to this Agreement shall be net of any tax or other amounts that the Company reasonably determines to be required to be withheld by the Company under applicable law. Any payments made by the Company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418" w:right="379" w:bottom="1440" w:gutter="0" w:footer="0" w:header="0"/>
        </w:sectPr>
      </w:pPr>
    </w:p>
    <w:bookmarkStart w:id="158" w:name="page159"/>
    <w:bookmarkEnd w:id="158"/>
    <w:p>
      <w:pPr>
        <w:ind w:right="200"/>
        <w:spacing w:after="0" w:line="256" w:lineRule="auto"/>
        <w:rPr>
          <w:sz w:val="20"/>
          <w:szCs w:val="20"/>
          <w:color w:val="auto"/>
        </w:rPr>
      </w:pPr>
      <w:r>
        <w:rPr>
          <w:rFonts w:ascii="Times New Roman" w:cs="Times New Roman" w:eastAsia="Times New Roman" w:hAnsi="Times New Roman"/>
          <w:sz w:val="22"/>
          <w:szCs w:val="22"/>
          <w:color w:val="auto"/>
        </w:rPr>
        <w:t>to this Agreement shall be subject to any tax or other reporting that the Company reasonably determines to be required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176" w:lineRule="exact"/>
        <w:rPr>
          <w:sz w:val="20"/>
          <w:szCs w:val="20"/>
          <w:color w:val="auto"/>
        </w:rPr>
      </w:pPr>
    </w:p>
    <w:p>
      <w:pPr>
        <w:ind w:right="620" w:firstLine="8"/>
        <w:spacing w:after="0" w:line="271" w:lineRule="auto"/>
        <w:tabs>
          <w:tab w:leader="none" w:pos="64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Reliance</w:t>
      </w:r>
      <w:r>
        <w:rPr>
          <w:rFonts w:ascii="Times New Roman" w:cs="Times New Roman" w:eastAsia="Times New Roman" w:hAnsi="Times New Roman"/>
          <w:sz w:val="22"/>
          <w:szCs w:val="22"/>
          <w:color w:val="auto"/>
        </w:rPr>
        <w:t>. In signing this Agreement, you are not relying upon any promises or representations made by anyone at or on behalf of the Company.</w:t>
      </w:r>
    </w:p>
    <w:p>
      <w:pPr>
        <w:spacing w:after="0" w:line="157" w:lineRule="exact"/>
        <w:rPr>
          <w:rFonts w:ascii="Times New Roman" w:cs="Times New Roman" w:eastAsia="Times New Roman" w:hAnsi="Times New Roman"/>
          <w:sz w:val="22"/>
          <w:szCs w:val="22"/>
          <w:color w:val="auto"/>
        </w:rPr>
      </w:pPr>
    </w:p>
    <w:p>
      <w:pPr>
        <w:ind w:right="300" w:firstLine="8"/>
        <w:spacing w:after="0" w:line="253" w:lineRule="auto"/>
        <w:tabs>
          <w:tab w:leader="none" w:pos="645"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an arbitrator or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8" w:lineRule="exact"/>
        <w:rPr>
          <w:rFonts w:ascii="Times New Roman" w:cs="Times New Roman" w:eastAsia="Times New Roman" w:hAnsi="Times New Roman"/>
          <w:sz w:val="22"/>
          <w:szCs w:val="22"/>
          <w:color w:val="auto"/>
        </w:rPr>
      </w:pPr>
    </w:p>
    <w:p>
      <w:pPr>
        <w:ind w:firstLine="8"/>
        <w:spacing w:after="0" w:line="256" w:lineRule="auto"/>
        <w:tabs>
          <w:tab w:leader="none" w:pos="64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w:t>
      </w:r>
    </w:p>
    <w:p>
      <w:pPr>
        <w:spacing w:after="0" w:line="176" w:lineRule="exact"/>
        <w:rPr>
          <w:rFonts w:ascii="Times New Roman" w:cs="Times New Roman" w:eastAsia="Times New Roman" w:hAnsi="Times New Roman"/>
          <w:sz w:val="22"/>
          <w:szCs w:val="22"/>
          <w:color w:val="auto"/>
        </w:rPr>
      </w:pPr>
    </w:p>
    <w:p>
      <w:pPr>
        <w:ind w:right="60" w:firstLine="8"/>
        <w:spacing w:after="0" w:line="250" w:lineRule="auto"/>
        <w:tabs>
          <w:tab w:leader="none" w:pos="64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xml:space="preserve">. Any controversy or claim arising out of or relating to this Agreement or the breach thereof shall, to the fullest extent permitted by law, be settled by arbitration in any forum and form agreed upon by the parties or, in the absence of such an agreement, under the auspices of JAMS in Dallas, Texas in accordance with its Comprehensive Arbitration Rules &amp; Procedures as then in effect. This section shall be specifically enforceable. Notwithstanding the foregoing, this section shall not preclude either party from pursuing a court action for the sole purpose of obtaining a temporary restraining order or a preliminary injunction in circumstances in which such relief is appropriate;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any other relief shall be pursued through an arbitration proceeding pursuant to this section.</w:t>
      </w:r>
    </w:p>
    <w:p>
      <w:pPr>
        <w:spacing w:after="0" w:line="180" w:lineRule="exact"/>
        <w:rPr>
          <w:rFonts w:ascii="Times New Roman" w:cs="Times New Roman" w:eastAsia="Times New Roman" w:hAnsi="Times New Roman"/>
          <w:sz w:val="22"/>
          <w:szCs w:val="22"/>
          <w:color w:val="auto"/>
        </w:rPr>
      </w:pPr>
    </w:p>
    <w:p>
      <w:pPr>
        <w:ind w:right="100" w:firstLine="8"/>
        <w:spacing w:after="0" w:line="256" w:lineRule="auto"/>
        <w:tabs>
          <w:tab w:leader="none" w:pos="64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Interpretation</w:t>
      </w:r>
      <w:r>
        <w:rPr>
          <w:rFonts w:ascii="Times New Roman" w:cs="Times New Roman" w:eastAsia="Times New Roman" w:hAnsi="Times New Roman"/>
          <w:sz w:val="22"/>
          <w:szCs w:val="22"/>
          <w:color w:val="auto"/>
        </w:rPr>
        <w:t>. This Agreement shall be interpreted and enforced under the laws of the State of Texas,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76" w:lineRule="exact"/>
        <w:rPr>
          <w:rFonts w:ascii="Times New Roman" w:cs="Times New Roman" w:eastAsia="Times New Roman" w:hAnsi="Times New Roman"/>
          <w:sz w:val="22"/>
          <w:szCs w:val="22"/>
          <w:color w:val="auto"/>
        </w:rPr>
      </w:pPr>
    </w:p>
    <w:p>
      <w:pPr>
        <w:jc w:val="both"/>
        <w:ind w:right="260" w:firstLine="8"/>
        <w:spacing w:after="0" w:line="275" w:lineRule="auto"/>
        <w:tabs>
          <w:tab w:leader="none" w:pos="636"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between you and the Company and supersedes any previous agreements or understandings between you and the Company, except the 2021 LTIP Unit Award Agreement (Service-Based), the 2021 LTIP Unit Award Agreement (Performance-Based), the 2022 Stock Unit Award Agreement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59" w:name="page160"/>
    <w:bookmarkEnd w:id="159"/>
    <w:p>
      <w:pPr>
        <w:ind w:right="240"/>
        <w:spacing w:after="0" w:line="257" w:lineRule="auto"/>
        <w:rPr>
          <w:sz w:val="20"/>
          <w:szCs w:val="20"/>
          <w:color w:val="auto"/>
        </w:rPr>
      </w:pPr>
      <w:r>
        <w:rPr>
          <w:rFonts w:ascii="Times New Roman" w:cs="Times New Roman" w:eastAsia="Times New Roman" w:hAnsi="Times New Roman"/>
          <w:sz w:val="22"/>
          <w:szCs w:val="22"/>
          <w:color w:val="auto"/>
        </w:rPr>
        <w:t>Based), the 2022 Stock Unit Award Agreement (Performance-Based), the 2023 Stock Unit Award Agreement (Service-Based), the 2023 Stock Unit Award Agreement (Performance-Based), any other Equity Rights and any other obligations specifically preserved in this Agreement.</w:t>
      </w:r>
    </w:p>
    <w:p>
      <w:pPr>
        <w:spacing w:after="0" w:line="186" w:lineRule="exact"/>
        <w:rPr>
          <w:sz w:val="20"/>
          <w:szCs w:val="20"/>
          <w:color w:val="auto"/>
        </w:rPr>
      </w:pPr>
    </w:p>
    <w:p>
      <w:pPr>
        <w:ind w:right="120" w:firstLine="8"/>
        <w:spacing w:after="0" w:line="247" w:lineRule="auto"/>
        <w:tabs>
          <w:tab w:leader="none" w:pos="63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for Consideration; Effective Date</w:t>
      </w:r>
      <w:r>
        <w:rPr>
          <w:rFonts w:ascii="Times New Roman" w:cs="Times New Roman" w:eastAsia="Times New Roman" w:hAnsi="Times New Roman"/>
          <w:sz w:val="22"/>
          <w:szCs w:val="22"/>
          <w:color w:val="auto"/>
        </w:rPr>
        <w:t xml:space="preserve">. You acknowledge that you have knowingly and voluntarily entered into this Agreement and that the Company advises you to consult with an attorney before signing this Agreement. You also acknowledge that the Company offered you the Original Proposal on January 22, 2024 and gave you the opportunity to consider the Original Proposal for twenty-one (21) days from your receipt of it,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to and including February 12, 2024 (the “</w:t>
      </w:r>
      <w:r>
        <w:rPr>
          <w:rFonts w:ascii="Times New Roman" w:cs="Times New Roman" w:eastAsia="Times New Roman" w:hAnsi="Times New Roman"/>
          <w:sz w:val="22"/>
          <w:szCs w:val="22"/>
          <w:u w:val="single" w:color="auto"/>
          <w:color w:val="auto"/>
        </w:rPr>
        <w:t>Consideration Period</w:t>
      </w:r>
      <w:r>
        <w:rPr>
          <w:rFonts w:ascii="Times New Roman" w:cs="Times New Roman" w:eastAsia="Times New Roman" w:hAnsi="Times New Roman"/>
          <w:sz w:val="22"/>
          <w:szCs w:val="22"/>
          <w:color w:val="auto"/>
        </w:rPr>
        <w:t>”), before signing it. You agree that the offer of this Agreement does not restart a new twenty-one (21) day period to consider this Agreement or otherwise affect the February 12, 2024 end date of the Consideration Period. To accept this Agreement, you must return a signed original or a signed PDF copy of this Agreement so that it is received by Ann C. Menard (Ann.Menard@macerich.com) on or before February 12, 2024. If you sign this Agreement before February 12, 2024, you acknowledge that such decision was entirely voluntary and that you had the opportunity to consider this Agreement until February 12, 2024. For the period of seven (7) days from the date when you sign this Agreement, you have the right to revoke this Agreement by written notice to Ms. Menard, provided that such notice is delivered so that it is received at or before the expiration of the seven (7) day revocation period. This Agreement shall not become effective or enforceable during the revocation period. Provided that you have not revoked this Agreement, this Agreement shall become effective on the first business day following the expiration of the revocation period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89" w:lineRule="exact"/>
        <w:rPr>
          <w:rFonts w:ascii="Times New Roman" w:cs="Times New Roman" w:eastAsia="Times New Roman" w:hAnsi="Times New Roman"/>
          <w:sz w:val="22"/>
          <w:szCs w:val="22"/>
          <w:color w:val="auto"/>
        </w:rPr>
      </w:pPr>
    </w:p>
    <w:p>
      <w:pPr>
        <w:ind w:firstLine="8"/>
        <w:spacing w:after="0" w:line="271" w:lineRule="auto"/>
        <w:tabs>
          <w:tab w:leader="none" w:pos="64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separate counterparts. When both counterparts are signed, they shall be treated together as one and the same document.</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22" w:right="379" w:bottom="1440" w:gutter="0" w:footer="0" w:header="0"/>
        </w:sectPr>
      </w:pPr>
    </w:p>
    <w:bookmarkStart w:id="160" w:name="page161"/>
    <w:bookmarkEnd w:id="160"/>
    <w:p>
      <w:pPr>
        <w:ind w:right="260"/>
        <w:spacing w:after="0" w:line="271" w:lineRule="auto"/>
        <w:rPr>
          <w:sz w:val="20"/>
          <w:szCs w:val="20"/>
          <w:color w:val="auto"/>
        </w:rPr>
      </w:pPr>
      <w:r>
        <w:rPr>
          <w:rFonts w:ascii="Times New Roman" w:cs="Times New Roman" w:eastAsia="Times New Roman" w:hAnsi="Times New Roman"/>
          <w:sz w:val="22"/>
          <w:szCs w:val="22"/>
          <w:color w:val="auto"/>
        </w:rPr>
        <w:t>Please accept this Agreement by signing and returning to Ms. Menard the original or a PDF copy of this letter within the time period set forth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MACERICH COMPANY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Ann C. Menard</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February 3, 2024</w:t>
            </w:r>
          </w:p>
        </w:tc>
      </w:tr>
      <w:tr>
        <w:trPr>
          <w:trHeight w:val="20"/>
        </w:trPr>
        <w:tc>
          <w:tcPr>
            <w:tcW w:w="5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87"/>
        </w:trPr>
        <w:tc>
          <w:tcPr>
            <w:tcW w:w="23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Ann C. Menard</w:t>
            </w:r>
          </w:p>
        </w:tc>
        <w:tc>
          <w:tcPr>
            <w:tcW w:w="26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Date</w:t>
            </w:r>
          </w:p>
        </w:tc>
      </w:tr>
    </w:tbl>
    <w:p>
      <w:pPr>
        <w:ind w:left="220"/>
        <w:spacing w:after="0"/>
        <w:rPr>
          <w:sz w:val="20"/>
          <w:szCs w:val="20"/>
          <w:color w:val="auto"/>
        </w:rPr>
      </w:pPr>
      <w:r>
        <w:rPr>
          <w:rFonts w:ascii="Times New Roman" w:cs="Times New Roman" w:eastAsia="Times New Roman" w:hAnsi="Times New Roman"/>
          <w:sz w:val="22"/>
          <w:szCs w:val="22"/>
          <w:color w:val="auto"/>
        </w:rPr>
        <w:t>Senior Executive Vice President,</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Chief Legal Officer and Secretary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Enclosures (Retirement Notice; Equity Summary)</w:t>
      </w:r>
    </w:p>
    <w:p>
      <w:pPr>
        <w:spacing w:after="0" w:line="2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/s/ Edward C. Coppola</w:t>
            </w: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February 3, 2024</w:t>
            </w:r>
          </w:p>
        </w:tc>
      </w:tr>
      <w:tr>
        <w:trPr>
          <w:trHeight w:val="20"/>
        </w:trPr>
        <w:tc>
          <w:tcPr>
            <w:tcW w:w="2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89"/>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Edward C. Coppola</w:t>
            </w: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20"/>
          </w:cols>
          <w:pgMar w:left="320" w:top="1422" w:right="45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Jackson Hsieh, certify that:</w:t>
      </w:r>
    </w:p>
    <w:p>
      <w:pPr>
        <w:spacing w:after="0" w:line="158" w:lineRule="exact"/>
        <w:rPr>
          <w:sz w:val="20"/>
          <w:szCs w:val="20"/>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March 31, 2024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73" w:lineRule="auto"/>
        <w:tabs>
          <w:tab w:leader="none" w:pos="97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28117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4" w:lineRule="exact"/>
        <w:rPr>
          <w:sz w:val="20"/>
          <w:szCs w:val="20"/>
          <w:color w:val="auto"/>
        </w:rPr>
      </w:pPr>
    </w:p>
    <w:p>
      <w:pPr>
        <w:ind w:left="1000"/>
        <w:spacing w:after="0"/>
        <w:tabs>
          <w:tab w:leader="none" w:pos="174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i w:val="1"/>
          <w:iCs w:val="1"/>
          <w:color w:val="auto"/>
        </w:rPr>
        <w:t>Chief Executive Officer</w:t>
      </w:r>
    </w:p>
    <w:p>
      <w:pPr>
        <w:sectPr>
          <w:pgSz w:w="11900" w:h="16838" w:orient="portrait"/>
          <w:cols w:equalWidth="0" w:num="1">
            <w:col w:w="11240"/>
          </w:cols>
          <w:pgMar w:left="320" w:top="981"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Kingsmore, certify that:</w:t>
      </w:r>
    </w:p>
    <w:p>
      <w:pPr>
        <w:spacing w:after="0" w:line="158" w:lineRule="exact"/>
        <w:rPr>
          <w:sz w:val="20"/>
          <w:szCs w:val="20"/>
          <w:color w:val="auto"/>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March 31, 2024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73" w:lineRule="auto"/>
        <w:tabs>
          <w:tab w:leader="none" w:pos="97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1889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14" w:lineRule="exact"/>
        <w:rPr>
          <w:sz w:val="20"/>
          <w:szCs w:val="20"/>
          <w:color w:val="auto"/>
        </w:rPr>
      </w:pPr>
    </w:p>
    <w:p>
      <w:pPr>
        <w:ind w:left="1000"/>
        <w:spacing w:after="0"/>
        <w:tabs>
          <w:tab w:leader="none" w:pos="174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i w:val="1"/>
          <w:iCs w:val="1"/>
          <w:color w:val="auto"/>
        </w:rPr>
        <w:t>Senior Executive Vice President and Chief Financial Officer</w:t>
      </w:r>
    </w:p>
    <w:p>
      <w:pPr>
        <w:sectPr>
          <w:pgSz w:w="11900" w:h="16838" w:orient="portrait"/>
          <w:cols w:equalWidth="0" w:num="1">
            <w:col w:w="11240"/>
          </w:cols>
          <w:pgMar w:left="320" w:top="981"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undersigned, Jackson Hsieh and Scott W. Kingsmore, the Chief Executive Officer and Chief Financial Officer, respectively, of The Macerich Company (the "Company"), pursuant to 18 U.S.C. §1350, each hereby certifies that, to the best of his knowledge:</w:t>
      </w:r>
    </w:p>
    <w:p>
      <w:pPr>
        <w:spacing w:after="0" w:line="27" w:lineRule="exact"/>
        <w:rPr>
          <w:sz w:val="20"/>
          <w:szCs w:val="20"/>
          <w:color w:val="auto"/>
        </w:rPr>
      </w:pPr>
    </w:p>
    <w:p>
      <w:pPr>
        <w:ind w:left="980" w:right="980" w:hanging="324"/>
        <w:spacing w:after="0" w:line="282" w:lineRule="auto"/>
        <w:tabs>
          <w:tab w:leader="none" w:pos="97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2024 of the Company (the "Report") fully complies with the requirements of Section 13(a) and 15(d) of the Securities Exchange Act of 1934, as amended; and</w:t>
      </w:r>
    </w:p>
    <w:p>
      <w:pPr>
        <w:spacing w:after="0" w:line="40"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JACKSON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1."/>
      <w:numFmt w:val="decimal"/>
      <w:start w:val="2"/>
    </w:lvl>
  </w:abstractNum>
  <w:abstractNum w:abstractNumId="3">
    <w:nsid w:val="6FC75AF8"/>
    <w:multiLevelType w:val="hybridMultilevel"/>
    <w:lvl w:ilvl="0">
      <w:lvlJc w:val="left"/>
      <w:lvlText w:val="%1"/>
      <w:numFmt w:val="decimal"/>
      <w:start w:val="1"/>
    </w:lvl>
    <w:lvl w:ilvl="1">
      <w:lvlJc w:val="left"/>
      <w:lvlText w:val="(%2)"/>
      <w:numFmt w:val="decimal"/>
      <w:start w:val="1"/>
    </w:lvl>
  </w:abstractNum>
  <w:abstractNum w:abstractNumId="4">
    <w:nsid w:val="6A5F7029"/>
    <w:multiLevelType w:val="hybridMultilevel"/>
    <w:lvl w:ilvl="0">
      <w:lvlJc w:val="left"/>
      <w:lvlText w:val="%1."/>
      <w:numFmt w:val="decimal"/>
      <w:start w:val="4"/>
    </w:lvl>
    <w:lvl w:ilvl="1">
      <w:lvlJc w:val="left"/>
      <w:lvlText w:val="%2"/>
      <w:numFmt w:val="decimal"/>
      <w:start w:val="1"/>
    </w:lvl>
  </w:abstractNum>
  <w:abstractNum w:abstractNumId="5">
    <w:nsid w:val="7D5E18F8"/>
    <w:multiLevelType w:val="hybridMultilevel"/>
    <w:lvl w:ilvl="0">
      <w:lvlJc w:val="left"/>
      <w:lvlText w:val="(%1)"/>
      <w:numFmt w:val="decimal"/>
      <w:start w:val="1"/>
    </w:lvl>
  </w:abstractNum>
  <w:abstractNum w:abstractNumId="6">
    <w:nsid w:val="5F3534A4"/>
    <w:multiLevelType w:val="hybridMultilevel"/>
    <w:lvl w:ilvl="0">
      <w:lvlJc w:val="left"/>
      <w:lvlText w:val="(%1)"/>
      <w:numFmt w:val="decimal"/>
      <w:start w:val="2"/>
    </w:lvl>
  </w:abstractNum>
  <w:abstractNum w:abstractNumId="7">
    <w:nsid w:val="73A1821B"/>
    <w:multiLevelType w:val="hybridMultilevel"/>
    <w:lvl w:ilvl="0">
      <w:lvlJc w:val="left"/>
      <w:lvlText w:val="(%1)"/>
      <w:numFmt w:val="decimal"/>
      <w:start w:val="1"/>
    </w:lvl>
  </w:abstractNum>
  <w:abstractNum w:abstractNumId="8">
    <w:nsid w:val="7DE67713"/>
    <w:multiLevelType w:val="hybridMultilevel"/>
    <w:lvl w:ilvl="0">
      <w:lvlJc w:val="left"/>
      <w:lvlText w:val="(%1)"/>
      <w:numFmt w:val="decimal"/>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1)"/>
      <w:numFmt w:val="decimal"/>
      <w:start w:val="1"/>
    </w:lvl>
  </w:abstractNum>
  <w:abstractNum w:abstractNumId="12">
    <w:nsid w:val="6A3DD3E8"/>
    <w:multiLevelType w:val="hybridMultilevel"/>
    <w:lvl w:ilvl="0">
      <w:lvlJc w:val="left"/>
      <w:lvlText w:val="%1"/>
      <w:numFmt w:val="decimal"/>
      <w:start w:val="1"/>
    </w:lvl>
    <w:lvl w:ilvl="1">
      <w:lvlJc w:val="left"/>
      <w:lvlText w:val="(%2)"/>
      <w:numFmt w:val="decimal"/>
      <w:start w:val="1"/>
    </w:lvl>
  </w:abstractNum>
  <w:abstractNum w:abstractNumId="13">
    <w:nsid w:val="71C91298"/>
    <w:multiLevelType w:val="hybridMultilevel"/>
    <w:lvl w:ilvl="0">
      <w:lvlJc w:val="left"/>
      <w:lvlText w:val="%1."/>
      <w:numFmt w:val="decimal"/>
      <w:start w:val="10"/>
    </w:lvl>
    <w:lvl w:ilvl="1">
      <w:lvlJc w:val="left"/>
      <w:lvlText w:val="%2"/>
      <w:numFmt w:val="decimal"/>
      <w:start w:val="1"/>
    </w:lvl>
  </w:abstractNum>
  <w:abstractNum w:abstractNumId="14">
    <w:nsid w:val="9DAF632"/>
    <w:multiLevelType w:val="hybridMultilevel"/>
    <w:lvl w:ilvl="0">
      <w:lvlJc w:val="left"/>
      <w:lvlText w:val="(%1)"/>
      <w:numFmt w:val="decimal"/>
      <w:start w:val="1"/>
    </w:lvl>
  </w:abstractNum>
  <w:abstractNum w:abstractNumId="15">
    <w:nsid w:val="53299938"/>
    <w:multiLevelType w:val="hybridMultilevel"/>
    <w:lvl w:ilvl="0">
      <w:lvlJc w:val="left"/>
      <w:lvlText w:val="%1."/>
      <w:numFmt w:val="decimal"/>
      <w:start w:val="10"/>
    </w:lvl>
    <w:lvl w:ilvl="1">
      <w:lvlJc w:val="left"/>
      <w:lvlText w:val="(%2)"/>
      <w:numFmt w:val="decimal"/>
      <w:start w:val="4"/>
    </w:lvl>
  </w:abstractNum>
  <w:abstractNum w:abstractNumId="16">
    <w:nsid w:val="1FBFE8E0"/>
    <w:multiLevelType w:val="hybridMultilevel"/>
    <w:lvl w:ilvl="0">
      <w:lvlJc w:val="left"/>
      <w:lvlText w:val="%1."/>
      <w:numFmt w:val="decimal"/>
      <w:start w:val="14"/>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1)"/>
      <w:numFmt w:val="decimal"/>
      <w:start w:val="1"/>
    </w:lvl>
  </w:abstractNum>
  <w:abstractNum w:abstractNumId="19">
    <w:nsid w:val="59ADEA3D"/>
    <w:multiLevelType w:val="hybridMultilevel"/>
    <w:lvl w:ilvl="0">
      <w:lvlJc w:val="left"/>
      <w:lvlText w:val="(%1)"/>
      <w:numFmt w:val="decimal"/>
      <w:start w:val="1"/>
    </w:lvl>
  </w:abstractNum>
  <w:abstractNum w:abstractNumId="20">
    <w:nsid w:val="288F1A34"/>
    <w:multiLevelType w:val="hybridMultilevel"/>
    <w:lvl w:ilvl="0">
      <w:lvlJc w:val="left"/>
      <w:lvlText w:val="(%1)"/>
      <w:numFmt w:val="decimal"/>
      <w:start w:val="1"/>
    </w:lvl>
  </w:abstractNum>
  <w:abstractNum w:abstractNumId="21">
    <w:nsid w:val="2A155DBC"/>
    <w:multiLevelType w:val="hybridMultilevel"/>
    <w:lvl w:ilvl="0">
      <w:lvlJc w:val="left"/>
      <w:lvlText w:val="%1"/>
      <w:numFmt w:val="lowerLetter"/>
      <w:start w:val="1"/>
    </w:lvl>
    <w:lvl w:ilvl="1">
      <w:lvlJc w:val="left"/>
      <w:lvlText w:val="(%2)"/>
      <w:numFmt w:val="lowerLetter"/>
      <w:start w:val="1"/>
    </w:lvl>
  </w:abstractNum>
  <w:abstractNum w:abstractNumId="22">
    <w:nsid w:val="1D9F6E5F"/>
    <w:multiLevelType w:val="hybridMultilevel"/>
    <w:lvl w:ilvl="0">
      <w:lvlJc w:val="left"/>
      <w:lvlText w:val="(%1)"/>
      <w:numFmt w:val="lowerLetter"/>
      <w:start w:val="3"/>
    </w:lvl>
    <w:lvl w:ilvl="1">
      <w:lvlJc w:val="left"/>
      <w:lvlText w:val="%2"/>
      <w:numFmt w:val="lowerLetter"/>
      <w:start w:val="1"/>
    </w:lvl>
  </w:abstractNum>
  <w:abstractNum w:abstractNumId="23">
    <w:nsid w:val="97E1B4E"/>
    <w:multiLevelType w:val="hybridMultilevel"/>
    <w:lvl w:ilvl="0">
      <w:lvlJc w:val="left"/>
      <w:lvlText w:val="(%1)"/>
      <w:numFmt w:val="decimal"/>
      <w:start w:val="1"/>
    </w:lvl>
  </w:abstractNum>
  <w:abstractNum w:abstractNumId="24">
    <w:nsid w:val="51088277"/>
    <w:multiLevelType w:val="hybridMultilevel"/>
    <w:lvl w:ilvl="0">
      <w:lvlJc w:val="left"/>
      <w:lvlText w:val="*"/>
      <w:numFmt w:val="bullet"/>
      <w:start w:val="1"/>
    </w:lvl>
    <w:lvl w:ilvl="1">
      <w:lvlJc w:val="left"/>
      <w:lvlText w:val="%2"/>
      <w:numFmt w:val="decimal"/>
      <w:start w:val="104"/>
    </w:lvl>
  </w:abstractNum>
  <w:abstractNum w:abstractNumId="25">
    <w:nsid w:val="1CA0C5FA"/>
    <w:multiLevelType w:val="hybridMultilevel"/>
    <w:lvl w:ilvl="0">
      <w:lvlJc w:val="left"/>
      <w:lvlText w:val="**"/>
      <w:numFmt w:val="bullet"/>
      <w:start w:val="1"/>
    </w:lvl>
    <w:lvl w:ilvl="1">
      <w:lvlJc w:val="left"/>
      <w:lvlText w:val="%2"/>
      <w:numFmt w:val="decimal"/>
      <w:start w:val="1"/>
    </w:lvl>
  </w:abstractNum>
  <w:abstractNum w:abstractNumId="26">
    <w:nsid w:val="53584BCB"/>
    <w:multiLevelType w:val="hybridMultilevel"/>
    <w:lvl w:ilvl="0">
      <w:lvlJc w:val="left"/>
      <w:lvlText w:val="%1"/>
      <w:numFmt w:val="lowerLetter"/>
      <w:start w:val="1"/>
    </w:lvl>
    <w:lvl w:ilvl="1">
      <w:lvlJc w:val="left"/>
      <w:lvlText w:val="(%2)"/>
      <w:numFmt w:val="lowerLetter"/>
      <w:start w:val="1"/>
    </w:lvl>
  </w:abstractNum>
  <w:abstractNum w:abstractNumId="27">
    <w:nsid w:val="415E286C"/>
    <w:multiLevelType w:val="hybridMultilevel"/>
    <w:lvl w:ilvl="0">
      <w:lvlJc w:val="left"/>
      <w:lvlText w:val="(%1)"/>
      <w:numFmt w:val="lowerLetter"/>
      <w:start w:val="9"/>
    </w:lvl>
    <w:lvl w:ilvl="1">
      <w:lvlJc w:val="left"/>
      <w:lvlText w:val="(%2)"/>
      <w:numFmt w:val="lowerLetter"/>
      <w:start w:val="2"/>
    </w:lvl>
  </w:abstractNum>
  <w:abstractNum w:abstractNumId="28">
    <w:nsid w:val="7C58FD05"/>
    <w:multiLevelType w:val="hybridMultilevel"/>
    <w:lvl w:ilvl="0">
      <w:lvlJc w:val="left"/>
      <w:lvlText w:val="(%1)"/>
      <w:numFmt w:val="lowerLetter"/>
      <w:start w:val="3"/>
    </w:lvl>
  </w:abstractNum>
  <w:abstractNum w:abstractNumId="29">
    <w:nsid w:val="23D86AAC"/>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9"/>
    </w:lvl>
  </w:abstractNum>
  <w:abstractNum w:abstractNumId="30">
    <w:nsid w:val="45E6D48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1">
    <w:nsid w:val="5C10FE21"/>
    <w:multiLevelType w:val="hybridMultilevel"/>
    <w:lvl w:ilvl="0">
      <w:lvlJc w:val="left"/>
      <w:lvlText w:val="(%1)"/>
      <w:numFmt w:val="lowerRoman"/>
      <w:start w:val="2"/>
    </w:lvl>
  </w:abstractNum>
  <w:abstractNum w:abstractNumId="32">
    <w:nsid w:val="E7FFA2B"/>
    <w:multiLevelType w:val="hybridMultilevel"/>
    <w:lvl w:ilvl="0">
      <w:lvlJc w:val="left"/>
      <w:lvlText w:val="(%1)"/>
      <w:numFmt w:val="lowerLetter"/>
      <w:start w:val="7"/>
    </w:lvl>
    <w:lvl w:ilvl="1">
      <w:lvlJc w:val="left"/>
      <w:lvlText w:val="(%2)"/>
      <w:numFmt w:val="lowerLetter"/>
      <w:start w:val="9"/>
    </w:lvl>
  </w:abstractNum>
  <w:abstractNum w:abstractNumId="33">
    <w:nsid w:val="3C5991AA"/>
    <w:multiLevelType w:val="hybridMultilevel"/>
    <w:lvl w:ilvl="0">
      <w:lvlJc w:val="left"/>
      <w:lvlText w:val="(%1)"/>
      <w:numFmt w:val="lowerRoman"/>
      <w:start w:val="2"/>
    </w:lvl>
  </w:abstractNum>
  <w:abstractNum w:abstractNumId="34">
    <w:nsid w:val="4BD8591A"/>
    <w:multiLevelType w:val="hybridMultilevel"/>
    <w:lvl w:ilvl="0">
      <w:lvlJc w:val="left"/>
      <w:lvlText w:val="(%1)"/>
      <w:numFmt w:val="lowerLetter"/>
      <w:start w:val="16"/>
    </w:lvl>
  </w:abstractNum>
  <w:abstractNum w:abstractNumId="35">
    <w:nsid w:val="78DF6A55"/>
    <w:multiLevelType w:val="hybridMultilevel"/>
    <w:lvl w:ilvl="0">
      <w:lvlJc w:val="left"/>
      <w:lvlText w:val="(%1)"/>
      <w:numFmt w:val="lowerLetter"/>
      <w:start w:val="18"/>
    </w:lvl>
  </w:abstractNum>
  <w:abstractNum w:abstractNumId="36">
    <w:nsid w:val="39B7AAA2"/>
    <w:multiLevelType w:val="hybridMultilevel"/>
    <w:lvl w:ilvl="0">
      <w:lvlJc w:val="left"/>
      <w:lvlText w:val="(%1)"/>
      <w:numFmt w:val="lowerLetter"/>
      <w:start w:val="1"/>
    </w:lvl>
  </w:abstractNum>
  <w:abstractNum w:abstractNumId="37">
    <w:nsid w:val="2B0D8DBE"/>
    <w:multiLevelType w:val="hybridMultilevel"/>
    <w:lvl w:ilvl="0">
      <w:lvlJc w:val="left"/>
      <w:lvlText w:val="(%1)"/>
      <w:numFmt w:val="lowerLetter"/>
      <w:start w:val="1"/>
    </w:lvl>
  </w:abstractNum>
  <w:abstractNum w:abstractNumId="38">
    <w:nsid w:val="6C80EC70"/>
    <w:multiLevelType w:val="hybridMultilevel"/>
    <w:lvl w:ilvl="0">
      <w:lvlJc w:val="left"/>
      <w:lvlText w:val="(%1)"/>
      <w:numFmt w:val="lowerLetter"/>
      <w:start w:val="1"/>
    </w:lvl>
  </w:abstractNum>
  <w:abstractNum w:abstractNumId="39">
    <w:nsid w:val="379E21B5"/>
    <w:multiLevelType w:val="hybridMultilevel"/>
    <w:lvl w:ilvl="0">
      <w:lvlJc w:val="left"/>
      <w:lvlText w:val="(%1)"/>
      <w:numFmt w:val="lowerLetter"/>
      <w:start w:val="2"/>
    </w:lvl>
  </w:abstractNum>
  <w:abstractNum w:abstractNumId="40">
    <w:nsid w:val="69E373"/>
    <w:multiLevelType w:val="hybridMultilevel"/>
    <w:lvl w:ilvl="0">
      <w:lvlJc w:val="left"/>
      <w:lvlText w:val="(%1)"/>
      <w:numFmt w:val="lowerLetter"/>
      <w:start w:val="4"/>
    </w:lvl>
  </w:abstractNum>
  <w:abstractNum w:abstractNumId="41">
    <w:nsid w:val="2C27173B"/>
    <w:multiLevelType w:val="hybridMultilevel"/>
    <w:lvl w:ilvl="0">
      <w:lvlJc w:val="left"/>
      <w:lvlText w:val="(%1)"/>
      <w:numFmt w:val="lowerLetter"/>
      <w:start w:val="1"/>
    </w:lvl>
    <w:lvl w:ilvl="1">
      <w:lvlJc w:val="left"/>
      <w:lvlText w:val="(%2)"/>
      <w:numFmt w:val="lowerRoman"/>
      <w:start w:val="1"/>
    </w:lvl>
  </w:abstractNum>
  <w:abstractNum w:abstractNumId="42">
    <w:nsid w:val="4C9B090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
    <w:nsid w:val="6AA7B7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4">
    <w:nsid w:val="1DF029D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5">
    <w:nsid w:val="5675FF3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
    <w:nsid w:val="3DD150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47">
    <w:nsid w:val="3DB012B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8">
    <w:nsid w:val="2708C9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9">
    <w:nsid w:val="5B25ACE2"/>
    <w:multiLevelType w:val="hybridMultilevel"/>
    <w:lvl w:ilvl="0">
      <w:lvlJc w:val="left"/>
      <w:lvlText w:val="(%1)"/>
      <w:numFmt w:val="lowerLetter"/>
      <w:start w:val="4"/>
    </w:lvl>
  </w:abstractNum>
  <w:abstractNum w:abstractNumId="50">
    <w:nsid w:val="175DFCF0"/>
    <w:multiLevelType w:val="hybridMultilevel"/>
    <w:lvl w:ilvl="0">
      <w:lvlJc w:val="left"/>
      <w:lvlText w:val="(%1)"/>
      <w:numFmt w:val="lowerLetter"/>
      <w:start w:val="1"/>
    </w:lvl>
  </w:abstractNum>
  <w:abstractNum w:abstractNumId="51">
    <w:nsid w:val="4F97E3E4"/>
    <w:multiLevelType w:val="hybridMultilevel"/>
    <w:lvl w:ilvl="0">
      <w:lvlJc w:val="left"/>
      <w:lvlText w:val="(%1)"/>
      <w:numFmt w:val="lowerLetter"/>
      <w:start w:val="5"/>
    </w:lvl>
  </w:abstractNum>
  <w:abstractNum w:abstractNumId="52">
    <w:nsid w:val="53B0A9E"/>
    <w:multiLevelType w:val="hybridMultilevel"/>
    <w:lvl w:ilvl="0">
      <w:lvlJc w:val="left"/>
      <w:lvlText w:val="%1."/>
      <w:numFmt w:val="decimal"/>
      <w:start w:val="1"/>
    </w:lvl>
  </w:abstractNum>
  <w:abstractNum w:abstractNumId="53">
    <w:nsid w:val="34FD6B4F"/>
    <w:multiLevelType w:val="hybridMultilevel"/>
    <w:lvl w:ilvl="0">
      <w:lvlJc w:val="left"/>
      <w:lvlText w:val="%1."/>
      <w:numFmt w:val="decimal"/>
      <w:start w:val="2"/>
    </w:lvl>
    <w:lvl w:ilvl="1">
      <w:lvlJc w:val="left"/>
      <w:lvlText w:val="(%2)"/>
      <w:numFmt w:val="lowerLetter"/>
      <w:start w:val="6"/>
    </w:lvl>
  </w:abstractNum>
  <w:abstractNum w:abstractNumId="54">
    <w:nsid w:val="5915FF32"/>
    <w:multiLevelType w:val="hybridMultilevel"/>
    <w:lvl w:ilvl="0">
      <w:lvlJc w:val="left"/>
      <w:lvlText w:val="%1"/>
      <w:numFmt w:val="decimal"/>
      <w:start w:val="1"/>
    </w:lvl>
    <w:lvl w:ilvl="1">
      <w:lvlJc w:val="left"/>
      <w:lvlText w:val="(%2)"/>
      <w:numFmt w:val="lowerLetter"/>
      <w:start w:val="12"/>
    </w:lvl>
  </w:abstractNum>
  <w:abstractNum w:abstractNumId="55">
    <w:nsid w:val="56438D15"/>
    <w:multiLevelType w:val="hybridMultilevel"/>
    <w:lvl w:ilvl="0">
      <w:lvlJc w:val="left"/>
      <w:lvlText w:val="%1."/>
      <w:numFmt w:val="decimal"/>
      <w:start w:val="3"/>
    </w:lvl>
    <w:lvl w:ilvl="1">
      <w:lvlJc w:val="left"/>
      <w:lvlText w:val="%2"/>
      <w:numFmt w:val="lowerLetter"/>
      <w:start w:val="1"/>
    </w:lvl>
  </w:abstractNum>
  <w:abstractNum w:abstractNumId="56">
    <w:nsid w:val="519E3149"/>
    <w:multiLevelType w:val="hybridMultilevel"/>
    <w:lvl w:ilvl="0">
      <w:lvlJc w:val="left"/>
      <w:lvlText w:val="%1."/>
      <w:numFmt w:val="decimal"/>
      <w:start w:val="1"/>
    </w:lvl>
    <w:lvl w:ilvl="1">
      <w:lvlJc w:val="left"/>
      <w:lvlText w:val="(%2)"/>
      <w:numFmt w:val="lowerLetter"/>
      <w:start w:val="1"/>
    </w:lvl>
  </w:abstractNum>
  <w:abstractNum w:abstractNumId="57">
    <w:nsid w:val="2C6E4AFD"/>
    <w:multiLevelType w:val="hybridMultilevel"/>
    <w:lvl w:ilvl="0">
      <w:lvlJc w:val="left"/>
      <w:lvlText w:val="%1"/>
      <w:numFmt w:val="decimal"/>
      <w:start w:val="1"/>
    </w:lvl>
    <w:lvl w:ilvl="1">
      <w:lvlJc w:val="left"/>
      <w:lvlText w:val="(%2)"/>
      <w:numFmt w:val="lowerLetter"/>
      <w:start w:val="2"/>
    </w:lvl>
  </w:abstractNum>
  <w:abstractNum w:abstractNumId="58">
    <w:nsid w:val="17A1B582"/>
    <w:multiLevelType w:val="hybridMultilevel"/>
    <w:lvl w:ilvl="0">
      <w:lvlJc w:val="left"/>
      <w:lvlText w:val="%1."/>
      <w:numFmt w:val="decimal"/>
      <w:start w:val="3"/>
    </w:lvl>
    <w:lvl w:ilvl="1">
      <w:lvlJc w:val="left"/>
      <w:lvlText w:val="(%2)"/>
      <w:numFmt w:val="lowerLetter"/>
      <w:start w:val="1"/>
    </w:lvl>
  </w:abstractNum>
  <w:abstractNum w:abstractNumId="59">
    <w:nsid w:val="4DF72E4E"/>
    <w:multiLevelType w:val="hybridMultilevel"/>
    <w:lvl w:ilvl="0">
      <w:lvlJc w:val="left"/>
      <w:lvlText w:val="(%1)"/>
      <w:numFmt w:val="lowerLetter"/>
      <w:start w:val="2"/>
    </w:lvl>
  </w:abstractNum>
  <w:abstractNum w:abstractNumId="60">
    <w:nsid w:val="5046B5A9"/>
    <w:multiLevelType w:val="hybridMultilevel"/>
    <w:lvl w:ilvl="0">
      <w:lvlJc w:val="left"/>
      <w:lvlText w:val="%1"/>
      <w:numFmt w:val="decimal"/>
      <w:start w:val="1"/>
    </w:lvl>
    <w:lvl w:ilvl="1">
      <w:lvlJc w:val="left"/>
      <w:lvlText w:val="(%2)"/>
      <w:numFmt w:val="lowerLetter"/>
      <w:start w:val="3"/>
    </w:lvl>
  </w:abstractNum>
  <w:abstractNum w:abstractNumId="61">
    <w:nsid w:val="5D888A08"/>
    <w:multiLevelType w:val="hybridMultilevel"/>
    <w:lvl w:ilvl="0">
      <w:lvlJc w:val="left"/>
      <w:lvlText w:val="%1."/>
      <w:numFmt w:val="decimal"/>
      <w:start w:val="5"/>
    </w:lvl>
    <w:lvl w:ilvl="1">
      <w:lvlJc w:val="left"/>
      <w:lvlText w:val="(%2)"/>
      <w:numFmt w:val="lowerLetter"/>
      <w:start w:val="1"/>
    </w:lvl>
  </w:abstractNum>
  <w:abstractNum w:abstractNumId="62">
    <w:nsid w:val="2A082C70"/>
    <w:multiLevelType w:val="hybridMultilevel"/>
    <w:lvl w:ilvl="0">
      <w:lvlJc w:val="left"/>
      <w:lvlText w:val="%1"/>
      <w:numFmt w:val="decimal"/>
      <w:start w:val="1"/>
    </w:lvl>
    <w:lvl w:ilvl="1">
      <w:lvlJc w:val="left"/>
      <w:lvlText w:val="(%2)"/>
      <w:numFmt w:val="lowerLetter"/>
      <w:start w:val="3"/>
    </w:lvl>
  </w:abstractNum>
  <w:abstractNum w:abstractNumId="63">
    <w:nsid w:val="5EC6AFD4"/>
    <w:multiLevelType w:val="hybridMultilevel"/>
    <w:lvl w:ilvl="0">
      <w:lvlJc w:val="left"/>
      <w:lvlText w:val="%1."/>
      <w:numFmt w:val="decimal"/>
      <w:start w:val="6"/>
    </w:lvl>
    <w:lvl w:ilvl="1">
      <w:lvlJc w:val="left"/>
      <w:lvlText w:val="(%2)"/>
      <w:numFmt w:val="lowerLetter"/>
      <w:start w:val="1"/>
    </w:lvl>
  </w:abstractNum>
  <w:abstractNum w:abstractNumId="64">
    <w:nsid w:val="19E21BB2"/>
    <w:multiLevelType w:val="hybridMultilevel"/>
    <w:lvl w:ilvl="0">
      <w:lvlJc w:val="left"/>
      <w:lvlText w:val="(%1)"/>
      <w:numFmt w:val="lowerLetter"/>
      <w:start w:val="4"/>
    </w:lvl>
  </w:abstractNum>
  <w:abstractNum w:abstractNumId="65">
    <w:nsid w:val="75E0858A"/>
    <w:multiLevelType w:val="hybridMultilevel"/>
    <w:lvl w:ilvl="0">
      <w:lvlJc w:val="left"/>
      <w:lvlText w:val="%1"/>
      <w:numFmt w:val="decimal"/>
      <w:start w:val="1"/>
    </w:lvl>
    <w:lvl w:ilvl="1">
      <w:lvlJc w:val="left"/>
      <w:lvlText w:val="(%2)"/>
      <w:numFmt w:val="lowerLetter"/>
      <w:start w:val="5"/>
    </w:lvl>
  </w:abstractNum>
  <w:abstractNum w:abstractNumId="66">
    <w:nsid w:val="57A61A29"/>
    <w:multiLevelType w:val="hybridMultilevel"/>
    <w:lvl w:ilvl="0">
      <w:lvlJc w:val="left"/>
      <w:lvlText w:val="%1."/>
      <w:numFmt w:val="decimal"/>
      <w:start w:val="7"/>
    </w:lvl>
    <w:lvl w:ilvl="1">
      <w:lvlJc w:val="left"/>
      <w:lvlText w:val="(%2)"/>
      <w:numFmt w:val="lowerLetter"/>
      <w:start w:val="1"/>
    </w:lvl>
  </w:abstractNum>
  <w:abstractNum w:abstractNumId="67">
    <w:nsid w:val="5399C654"/>
    <w:multiLevelType w:val="hybridMultilevel"/>
    <w:lvl w:ilvl="0">
      <w:lvlJc w:val="left"/>
      <w:lvlText w:val="%1"/>
      <w:numFmt w:val="decimal"/>
      <w:start w:val="1"/>
    </w:lvl>
    <w:lvl w:ilvl="1">
      <w:lvlJc w:val="left"/>
      <w:lvlText w:val="(%2)"/>
      <w:numFmt w:val="lowerLetter"/>
      <w:start w:val="3"/>
    </w:lvl>
  </w:abstractNum>
  <w:abstractNum w:abstractNumId="68">
    <w:nsid w:val="20EE1348"/>
    <w:multiLevelType w:val="hybridMultilevel"/>
    <w:lvl w:ilvl="0">
      <w:lvlJc w:val="left"/>
      <w:lvlText w:val="%1."/>
      <w:numFmt w:val="decimal"/>
      <w:start w:val="8"/>
    </w:lvl>
    <w:lvl w:ilvl="1">
      <w:lvlJc w:val="left"/>
      <w:lvlText w:val="%2"/>
      <w:numFmt w:val="lowerLetter"/>
      <w:start w:val="1"/>
    </w:lvl>
  </w:abstractNum>
  <w:abstractNum w:abstractNumId="69">
    <w:nsid w:val="4427069A"/>
    <w:multiLevelType w:val="hybridMultilevel"/>
    <w:lvl w:ilvl="0">
      <w:lvlJc w:val="left"/>
      <w:lvlText w:val="%1."/>
      <w:numFmt w:val="decimal"/>
      <w:start w:val="9"/>
    </w:lvl>
    <w:lvl w:ilvl="1">
      <w:lvlJc w:val="left"/>
      <w:lvlText w:val="(%2)"/>
      <w:numFmt w:val="lowerLetter"/>
      <w:start w:val="1"/>
    </w:lvl>
  </w:abstractNum>
  <w:abstractNum w:abstractNumId="70">
    <w:nsid w:val="B37E80A"/>
    <w:multiLevelType w:val="hybridMultilevel"/>
    <w:lvl w:ilvl="0">
      <w:lvlJc w:val="left"/>
      <w:lvlText w:val="(%1)"/>
      <w:numFmt w:val="lowerLetter"/>
      <w:start w:val="2"/>
    </w:lvl>
  </w:abstractNum>
  <w:abstractNum w:abstractNumId="71">
    <w:nsid w:val="2157F6BC"/>
    <w:multiLevelType w:val="hybridMultilevel"/>
    <w:lvl w:ilvl="0">
      <w:lvlJc w:val="left"/>
      <w:lvlText w:val="%1"/>
      <w:numFmt w:val="upperLetter"/>
      <w:start w:val="1"/>
    </w:lvl>
    <w:lvl w:ilvl="1">
      <w:lvlJc w:val="left"/>
      <w:lvlText w:val="(%2)"/>
      <w:numFmt w:val="lowerLetter"/>
      <w:start w:val="4"/>
    </w:lvl>
  </w:abstractNum>
  <w:abstractNum w:abstractNumId="72">
    <w:nsid w:val="704E1DD5"/>
    <w:multiLevelType w:val="hybridMultilevel"/>
    <w:lvl w:ilvl="0">
      <w:lvlJc w:val="left"/>
      <w:lvlText w:val="(%1)"/>
      <w:numFmt w:val="upperLetter"/>
      <w:start w:val="2"/>
    </w:lvl>
    <w:lvl w:ilvl="1">
      <w:lvlJc w:val="left"/>
      <w:lvlText w:val="%2"/>
      <w:numFmt w:val="lowerLetter"/>
      <w:start w:val="1"/>
    </w:lvl>
  </w:abstractNum>
  <w:abstractNum w:abstractNumId="73">
    <w:nsid w:val="57D2F10E"/>
    <w:multiLevelType w:val="hybridMultilevel"/>
    <w:lvl w:ilvl="0">
      <w:lvlJc w:val="left"/>
      <w:lvlText w:val="(%1)"/>
      <w:numFmt w:val="lowerRoman"/>
      <w:start w:val="1"/>
    </w:lvl>
  </w:abstractNum>
  <w:abstractNum w:abstractNumId="74">
    <w:nsid w:val="BFFAE18"/>
    <w:multiLevelType w:val="hybridMultilevel"/>
    <w:lvl w:ilvl="0">
      <w:lvlJc w:val="left"/>
      <w:lvlText w:val="%1"/>
      <w:numFmt w:val="decimal"/>
      <w:start w:val="1"/>
    </w:lvl>
    <w:lvl w:ilvl="1">
      <w:lvlJc w:val="left"/>
      <w:lvlText w:val="(%2)"/>
      <w:numFmt w:val="lowerLetter"/>
      <w:start w:val="6"/>
    </w:lvl>
  </w:abstractNum>
  <w:abstractNum w:abstractNumId="75">
    <w:nsid w:val="E3E47A8"/>
    <w:multiLevelType w:val="hybridMultilevel"/>
    <w:lvl w:ilvl="0">
      <w:lvlJc w:val="left"/>
      <w:lvlText w:val="%1."/>
      <w:numFmt w:val="decimal"/>
      <w:start w:val="10"/>
    </w:lvl>
    <w:lvl w:ilvl="1">
      <w:lvlJc w:val="left"/>
      <w:lvlText w:val="%2"/>
      <w:numFmt w:val="lowerLetter"/>
      <w:start w:val="1"/>
    </w:lvl>
  </w:abstractNum>
  <w:abstractNum w:abstractNumId="76">
    <w:nsid w:val="2E48F044"/>
    <w:multiLevelType w:val="hybridMultilevel"/>
    <w:lvl w:ilvl="0">
      <w:lvlJc w:val="left"/>
      <w:lvlText w:val="%1."/>
      <w:numFmt w:val="decimal"/>
      <w:start w:val="11"/>
    </w:lvl>
  </w:abstractNum>
  <w:abstractNum w:abstractNumId="77">
    <w:nsid w:val="49D0FEAC"/>
    <w:multiLevelType w:val="hybridMultilevel"/>
    <w:lvl w:ilvl="0">
      <w:lvlJc w:val="left"/>
      <w:lvlText w:val="%1."/>
      <w:numFmt w:val="decimal"/>
      <w:start w:val="13"/>
    </w:lvl>
  </w:abstractNum>
  <w:abstractNum w:abstractNumId="78">
    <w:nsid w:val="4BEE5A5B"/>
    <w:multiLevelType w:val="hybridMultilevel"/>
    <w:lvl w:ilvl="0">
      <w:lvlJc w:val="left"/>
      <w:lvlText w:val="%1."/>
      <w:numFmt w:val="decimal"/>
      <w:start w:val="14"/>
    </w:lvl>
  </w:abstractNum>
  <w:abstractNum w:abstractNumId="79">
    <w:nsid w:val="5551B9F3"/>
    <w:multiLevelType w:val="hybridMultilevel"/>
    <w:lvl w:ilvl="0">
      <w:lvlJc w:val="left"/>
      <w:lvlText w:val="%1"/>
      <w:numFmt w:val="lowerLetter"/>
      <w:start w:val="1"/>
    </w:lvl>
    <w:lvl w:ilvl="1">
      <w:lvlJc w:val="left"/>
      <w:lvlText w:val="%2."/>
      <w:numFmt w:val="decimal"/>
      <w:start w:val="16"/>
    </w:lvl>
  </w:abstractNum>
  <w:abstractNum w:abstractNumId="80">
    <w:nsid w:val="24F6AB8E"/>
    <w:multiLevelType w:val="hybridMultilevel"/>
    <w:lvl w:ilvl="0">
      <w:lvlJc w:val="left"/>
      <w:lvlText w:val="(%1)"/>
      <w:numFmt w:val="lowerLetter"/>
      <w:start w:val="3"/>
    </w:lvl>
    <w:lvl w:ilvl="1">
      <w:lvlJc w:val="left"/>
      <w:lvlText w:val="%2."/>
      <w:numFmt w:val="decimal"/>
      <w:start w:val="18"/>
    </w:lvl>
  </w:abstractNum>
  <w:abstractNum w:abstractNumId="81">
    <w:nsid w:val="634C574C"/>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82">
    <w:nsid w:val="24E99DD7"/>
    <w:multiLevelType w:val="hybridMultilevel"/>
    <w:lvl w:ilvl="0">
      <w:lvlJc w:val="left"/>
      <w:lvlText w:val="(%1)"/>
      <w:numFmt w:val="lowerRoman"/>
      <w:start w:val="3"/>
    </w:lvl>
  </w:abstractNum>
  <w:abstractNum w:abstractNumId="83">
    <w:nsid w:val="2A31B62D"/>
    <w:multiLevelType w:val="hybridMultilevel"/>
    <w:lvl w:ilvl="0">
      <w:lvlJc w:val="left"/>
      <w:lvlText w:val="%1."/>
      <w:numFmt w:val="upperLetter"/>
      <w:start w:val="1"/>
    </w:lvl>
  </w:abstractNum>
  <w:abstractNum w:abstractNumId="84">
    <w:nsid w:val="1849C29B"/>
    <w:multiLevelType w:val="hybridMultilevel"/>
    <w:lvl w:ilvl="0">
      <w:lvlJc w:val="left"/>
      <w:lvlText w:val="%1."/>
      <w:numFmt w:val="decimal"/>
      <w:start w:val="1"/>
    </w:lvl>
  </w:abstractNum>
  <w:abstractNum w:abstractNumId="85">
    <w:nsid w:val="7DFF9D09"/>
    <w:multiLevelType w:val="hybridMultilevel"/>
    <w:lvl w:ilvl="0">
      <w:lvlJc w:val="left"/>
      <w:lvlText w:val="%1."/>
      <w:numFmt w:val="decimal"/>
      <w:start w:val="2"/>
    </w:lvl>
  </w:abstractNum>
  <w:abstractNum w:abstractNumId="86">
    <w:nsid w:val="754342"/>
    <w:multiLevelType w:val="hybridMultilevel"/>
    <w:lvl w:ilvl="0">
      <w:lvlJc w:val="left"/>
      <w:lvlText w:val="(%1)"/>
      <w:numFmt w:val="lowerLetter"/>
      <w:start w:val="1"/>
    </w:lvl>
  </w:abstractNum>
  <w:abstractNum w:abstractNumId="87">
    <w:nsid w:val="69E7F3E5"/>
    <w:multiLevelType w:val="hybridMultilevel"/>
    <w:lvl w:ilvl="0">
      <w:lvlJc w:val="left"/>
      <w:lvlText w:val="(%1)"/>
      <w:numFmt w:val="lowerLetter"/>
      <w:start w:val="4"/>
    </w:lvl>
  </w:abstractNum>
  <w:abstractNum w:abstractNumId="88">
    <w:nsid w:val="2A6DE806"/>
    <w:multiLevelType w:val="hybridMultilevel"/>
    <w:lvl w:ilvl="0">
      <w:lvlJc w:val="left"/>
      <w:lvlText w:val="(%1)"/>
      <w:numFmt w:val="upperLetter"/>
      <w:start w:val="2"/>
    </w:lvl>
  </w:abstractNum>
  <w:abstractNum w:abstractNumId="89">
    <w:nsid w:val="1816F8C4"/>
    <w:multiLevelType w:val="hybridMultilevel"/>
    <w:lvl w:ilvl="0">
      <w:lvlJc w:val="left"/>
      <w:lvlText w:val="(%1)"/>
      <w:numFmt w:val="decimal"/>
      <w:start w:val="1"/>
    </w:lvl>
  </w:abstractNum>
  <w:abstractNum w:abstractNumId="90">
    <w:nsid w:val="37DF2233"/>
    <w:multiLevelType w:val="hybridMultilevel"/>
    <w:lvl w:ilvl="0">
      <w:lvlJc w:val="left"/>
      <w:lvlText w:val="%1."/>
      <w:numFmt w:val="decimal"/>
      <w:start w:val="3"/>
    </w:lvl>
    <w:lvl w:ilvl="1">
      <w:lvlJc w:val="left"/>
      <w:lvlText w:val="(%2)"/>
      <w:numFmt w:val="lowerLetter"/>
      <w:start w:val="1"/>
    </w:lvl>
  </w:abstractNum>
  <w:abstractNum w:abstractNumId="91">
    <w:nsid w:val="7AB49D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2">
    <w:nsid w:val="759F82C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3">
    <w:nsid w:val="61E74EA3"/>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94">
    <w:nsid w:val="597B4D84"/>
    <w:multiLevelType w:val="hybridMultilevel"/>
    <w:lvl w:ilvl="0">
      <w:lvlJc w:val="left"/>
      <w:lvlText w:val="%1."/>
      <w:numFmt w:val="decimal"/>
      <w:start w:val="6"/>
    </w:lvl>
    <w:lvl w:ilvl="1">
      <w:lvlJc w:val="left"/>
      <w:lvlText w:val="(%2)"/>
      <w:numFmt w:val="lowerLetter"/>
      <w:start w:val="1"/>
    </w:lvl>
  </w:abstractNum>
  <w:abstractNum w:abstractNumId="95">
    <w:nsid w:val="F819E7F"/>
    <w:multiLevelType w:val="hybridMultilevel"/>
    <w:lvl w:ilvl="0">
      <w:lvlJc w:val="left"/>
      <w:lvlText w:val="%1."/>
      <w:numFmt w:val="decimal"/>
      <w:start w:val="9"/>
    </w:lvl>
    <w:lvl w:ilvl="1">
      <w:lvlJc w:val="left"/>
      <w:lvlText w:val="(%2)"/>
      <w:numFmt w:val="lowerLetter"/>
      <w:start w:val="1"/>
    </w:lvl>
  </w:abstractNum>
  <w:abstractNum w:abstractNumId="96">
    <w:nsid w:val="57C7D42D"/>
    <w:multiLevelType w:val="hybridMultilevel"/>
    <w:lvl w:ilvl="0">
      <w:lvlJc w:val="left"/>
      <w:lvlText w:val="(%1)"/>
      <w:numFmt w:val="lowerLetter"/>
      <w:start w:val="2"/>
    </w:lvl>
  </w:abstractNum>
  <w:abstractNum w:abstractNumId="97">
    <w:nsid w:val="312167AD"/>
    <w:multiLevelType w:val="hybridMultilevel"/>
    <w:lvl w:ilvl="0">
      <w:lvlJc w:val="left"/>
      <w:lvlText w:val="(%1)"/>
      <w:numFmt w:val="lowerLetter"/>
      <w:start w:val="8"/>
    </w:lvl>
  </w:abstractNum>
  <w:abstractNum w:abstractNumId="98">
    <w:nsid w:val="631B64D4"/>
    <w:multiLevelType w:val="hybridMultilevel"/>
    <w:lvl w:ilvl="0">
      <w:lvlJc w:val="left"/>
      <w:lvlText w:val="(%1)"/>
      <w:numFmt w:val="lowerLetter"/>
      <w:start w:val="14"/>
    </w:lvl>
  </w:abstractNum>
  <w:abstractNum w:abstractNumId="99">
    <w:nsid w:val="78B5E776"/>
    <w:multiLevelType w:val="hybridMultilevel"/>
    <w:lvl w:ilvl="0">
      <w:lvlJc w:val="left"/>
      <w:lvlText w:val="%1."/>
      <w:numFmt w:val="decimal"/>
      <w:start w:val="1"/>
    </w:lvl>
  </w:abstractNum>
  <w:abstractNum w:abstractNumId="100">
    <w:nsid w:val="75486E47"/>
    <w:multiLevelType w:val="hybridMultilevel"/>
    <w:lvl w:ilvl="0">
      <w:lvlJc w:val="left"/>
      <w:lvlText w:val="%1."/>
      <w:numFmt w:val="decimal"/>
      <w:start w:val="4"/>
    </w:lvl>
  </w:abstractNum>
  <w:abstractNum w:abstractNumId="101">
    <w:nsid w:val="6E534CDE"/>
    <w:multiLevelType w:val="hybridMultilevel"/>
    <w:lvl w:ilvl="0">
      <w:lvlJc w:val="left"/>
      <w:lvlText w:val="%1."/>
      <w:numFmt w:val="decimal"/>
      <w:start w:val="8"/>
    </w:lvl>
  </w:abstractNum>
  <w:abstractNum w:abstractNumId="102">
    <w:nsid w:val="1A0DDE32"/>
    <w:multiLevelType w:val="hybridMultilevel"/>
    <w:lvl w:ilvl="0">
      <w:lvlJc w:val="left"/>
      <w:lvlText w:val="(%1)"/>
      <w:numFmt w:val="lowerLetter"/>
      <w:start w:val="1"/>
    </w:lvl>
  </w:abstractNum>
  <w:abstractNum w:abstractNumId="103">
    <w:nsid w:val="65968C1C"/>
    <w:multiLevelType w:val="hybridMultilevel"/>
    <w:lvl w:ilvl="0">
      <w:lvlJc w:val="left"/>
      <w:lvlText w:val="(%1)"/>
      <w:numFmt w:val="lowerRoman"/>
      <w:start w:val="1"/>
    </w:lvl>
  </w:abstractNum>
  <w:abstractNum w:abstractNumId="104">
    <w:nsid w:val="46263DEC"/>
    <w:multiLevelType w:val="hybridMultilevel"/>
    <w:lvl w:ilvl="0">
      <w:lvlJc w:val="left"/>
      <w:lvlText w:val="(%1)"/>
      <w:numFmt w:val="lowerLetter"/>
      <w:start w:val="2"/>
    </w:lvl>
    <w:lvl w:ilvl="1">
      <w:lvlJc w:val="left"/>
      <w:lvlText w:val="(%2)"/>
      <w:numFmt w:val="lowerLetter"/>
      <w:start w:val="9"/>
    </w:lvl>
  </w:abstractNum>
  <w:abstractNum w:abstractNumId="105">
    <w:nsid w:val="260D8C4A"/>
    <w:multiLevelType w:val="hybridMultilevel"/>
    <w:lvl w:ilvl="0">
      <w:lvlJc w:val="left"/>
      <w:lvlText w:val="(%1)"/>
      <w:numFmt w:val="lowerRoman"/>
      <w:start w:val="2"/>
    </w:lvl>
  </w:abstractNum>
  <w:abstractNum w:abstractNumId="106">
    <w:nsid w:val="73D4D3C4"/>
    <w:multiLevelType w:val="hybridMultilevel"/>
    <w:lvl w:ilvl="0">
      <w:lvlJc w:val="left"/>
      <w:lvlText w:val="%1"/>
      <w:numFmt w:val="upperLetter"/>
      <w:start w:val="1"/>
    </w:lvl>
    <w:lvl w:ilvl="1">
      <w:lvlJc w:val="left"/>
      <w:lvlText w:val="(%2)"/>
      <w:numFmt w:val="lowerRoman"/>
      <w:start w:val="4"/>
    </w:lvl>
  </w:abstractNum>
  <w:abstractNum w:abstractNumId="107">
    <w:nsid w:val="746F2E30"/>
    <w:multiLevelType w:val="hybridMultilevel"/>
    <w:lvl w:ilvl="0">
      <w:lvlJc w:val="left"/>
      <w:lvlText w:val="(%1)"/>
      <w:numFmt w:val="upperLetter"/>
      <w:start w:val="3"/>
    </w:lvl>
    <w:lvl w:ilvl="1">
      <w:lvlJc w:val="left"/>
      <w:lvlText w:val="(%2)"/>
      <w:numFmt w:val="lowerRoman"/>
      <w:start w:val="6"/>
    </w:lvl>
  </w:abstractNum>
  <w:abstractNum w:abstractNumId="108">
    <w:nsid w:val="6FDE8AF6"/>
    <w:multiLevelType w:val="hybridMultilevel"/>
    <w:lvl w:ilvl="0">
      <w:lvlJc w:val="left"/>
      <w:lvlText w:val="%1"/>
      <w:numFmt w:val="lowerLetter"/>
      <w:start w:val="1"/>
    </w:lvl>
    <w:lvl w:ilvl="1">
      <w:lvlJc w:val="left"/>
      <w:lvlText w:val="(%2)"/>
      <w:numFmt w:val="lowerRoman"/>
      <w:start w:val="7"/>
    </w:lvl>
  </w:abstractNum>
  <w:abstractNum w:abstractNumId="109">
    <w:nsid w:val="3FC32E20"/>
    <w:multiLevelType w:val="hybridMultilevel"/>
    <w:lvl w:ilvl="0">
      <w:lvlJc w:val="left"/>
      <w:lvlText w:val="(%1)"/>
      <w:numFmt w:val="lowerLetter"/>
      <w:start w:val="3"/>
    </w:lvl>
    <w:lvl w:ilvl="1">
      <w:lvlJc w:val="left"/>
      <w:lvlText w:val="%2"/>
      <w:numFmt w:val="lowerRoman"/>
      <w:start w:val="1"/>
    </w:lvl>
  </w:abstractNum>
  <w:abstractNum w:abstractNumId="110">
    <w:nsid w:val="49C0E823"/>
    <w:multiLevelType w:val="hybridMultilevel"/>
    <w:lvl w:ilvl="0">
      <w:lvlJc w:val="left"/>
      <w:lvlText w:val="%1."/>
      <w:numFmt w:val="decimal"/>
      <w:start w:val="1"/>
    </w:lvl>
  </w:abstractNum>
  <w:abstractNum w:abstractNumId="111">
    <w:nsid w:val="14D53685"/>
    <w:multiLevelType w:val="hybridMultilevel"/>
    <w:lvl w:ilvl="0">
      <w:lvlJc w:val="left"/>
      <w:lvlText w:val="%1."/>
      <w:numFmt w:val="decimal"/>
      <w:start w:val="2"/>
    </w:lvl>
  </w:abstractNum>
  <w:abstractNum w:abstractNumId="112">
    <w:nsid w:val="230F856C"/>
    <w:multiLevelType w:val="hybridMultilevel"/>
    <w:lvl w:ilvl="0">
      <w:lvlJc w:val="left"/>
      <w:lvlText w:val="%1."/>
      <w:numFmt w:val="decimal"/>
      <w:start w:val="3"/>
    </w:lvl>
    <w:lvl w:ilvl="1">
      <w:lvlJc w:val="left"/>
      <w:lvlText w:val="(%2)"/>
      <w:numFmt w:val="lowerLetter"/>
      <w:start w:val="1"/>
    </w:lvl>
  </w:abstractNum>
  <w:abstractNum w:abstractNumId="113">
    <w:nsid w:val="6EAA85FB"/>
    <w:multiLevelType w:val="hybridMultilevel"/>
    <w:lvl w:ilvl="0">
      <w:lvlJc w:val="left"/>
      <w:lvlText w:val="%1."/>
      <w:numFmt w:val="decimal"/>
      <w:start w:val="6"/>
    </w:lvl>
  </w:abstractNum>
  <w:abstractNum w:abstractNumId="114">
    <w:nsid w:val="3F06ECB2"/>
    <w:multiLevelType w:val="hybridMultilevel"/>
    <w:lvl w:ilvl="0">
      <w:lvlJc w:val="left"/>
      <w:lvlText w:val="%1."/>
      <w:numFmt w:val="upperLetter"/>
      <w:start w:val="1"/>
    </w:lvl>
  </w:abstractNum>
  <w:abstractNum w:abstractNumId="115">
    <w:nsid w:val="3B594807"/>
    <w:multiLevelType w:val="hybridMultilevel"/>
    <w:lvl w:ilvl="0">
      <w:lvlJc w:val="left"/>
      <w:lvlText w:val="%1."/>
      <w:numFmt w:val="decimal"/>
      <w:start w:val="1"/>
    </w:lvl>
  </w:abstractNum>
  <w:abstractNum w:abstractNumId="116">
    <w:nsid w:val="6CAA2304"/>
    <w:multiLevelType w:val="hybridMultilevel"/>
    <w:lvl w:ilvl="0">
      <w:lvlJc w:val="left"/>
      <w:lvlText w:val="%1."/>
      <w:numFmt w:val="decimal"/>
      <w:start w:val="2"/>
    </w:lvl>
  </w:abstractNum>
  <w:abstractNum w:abstractNumId="117">
    <w:nsid w:val="3F7C2FF4"/>
    <w:multiLevelType w:val="hybridMultilevel"/>
    <w:lvl w:ilvl="0">
      <w:lvlJc w:val="left"/>
      <w:lvlText w:val="(%1)"/>
      <w:numFmt w:val="lowerLetter"/>
      <w:start w:val="1"/>
    </w:lvl>
  </w:abstractNum>
  <w:abstractNum w:abstractNumId="118">
    <w:nsid w:val="25413BEC"/>
    <w:multiLevelType w:val="hybridMultilevel"/>
    <w:lvl w:ilvl="0">
      <w:lvlJc w:val="left"/>
      <w:lvlText w:val="(%1)"/>
      <w:numFmt w:val="lowerLetter"/>
      <w:start w:val="4"/>
    </w:lvl>
  </w:abstractNum>
  <w:abstractNum w:abstractNumId="119">
    <w:nsid w:val="17180B0B"/>
    <w:multiLevelType w:val="hybridMultilevel"/>
    <w:lvl w:ilvl="0">
      <w:lvlJc w:val="left"/>
      <w:lvlText w:val="(%1)"/>
      <w:numFmt w:val="upperLetter"/>
      <w:start w:val="2"/>
    </w:lvl>
  </w:abstractNum>
  <w:abstractNum w:abstractNumId="120">
    <w:nsid w:val="579328B9"/>
    <w:multiLevelType w:val="hybridMultilevel"/>
    <w:lvl w:ilvl="0">
      <w:lvlJc w:val="left"/>
      <w:lvlText w:val="(%1)"/>
      <w:numFmt w:val="decimal"/>
      <w:start w:val="1"/>
    </w:lvl>
  </w:abstractNum>
  <w:abstractNum w:abstractNumId="121">
    <w:nsid w:val="5D205E20"/>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22">
    <w:nsid w:val="11CCA8BA"/>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123">
    <w:nsid w:val="4D32AB8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4">
    <w:nsid w:val="3F07ACC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25">
    <w:nsid w:val="6B47F63E"/>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26">
    <w:nsid w:val="5CB44A05"/>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127">
    <w:nsid w:val="16CF80F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28">
    <w:nsid w:val="1C695DEC"/>
    <w:multiLevelType w:val="hybridMultilevel"/>
    <w:lvl w:ilvl="0">
      <w:lvlJc w:val="left"/>
      <w:lvlText w:val="%1."/>
      <w:numFmt w:val="decimal"/>
      <w:start w:val="9"/>
    </w:lvl>
    <w:lvl w:ilvl="1">
      <w:lvlJc w:val="left"/>
      <w:lvlText w:val="(%2)"/>
      <w:numFmt w:val="lowerLetter"/>
      <w:start w:val="1"/>
    </w:lvl>
  </w:abstractNum>
  <w:abstractNum w:abstractNumId="129">
    <w:nsid w:val="3FCFAED9"/>
    <w:multiLevelType w:val="hybridMultilevel"/>
    <w:lvl w:ilvl="0">
      <w:lvlJc w:val="left"/>
      <w:lvlText w:val="(%1)"/>
      <w:numFmt w:val="lowerLetter"/>
      <w:start w:val="2"/>
    </w:lvl>
  </w:abstractNum>
  <w:abstractNum w:abstractNumId="130">
    <w:nsid w:val="F856867"/>
    <w:multiLevelType w:val="hybridMultilevel"/>
    <w:lvl w:ilvl="0">
      <w:lvlJc w:val="left"/>
      <w:lvlText w:val="(%1)"/>
      <w:numFmt w:val="lowerLetter"/>
      <w:start w:val="8"/>
    </w:lvl>
  </w:abstractNum>
  <w:abstractNum w:abstractNumId="131">
    <w:nsid w:val="11B1CC33"/>
    <w:multiLevelType w:val="hybridMultilevel"/>
    <w:lvl w:ilvl="0">
      <w:lvlJc w:val="left"/>
      <w:lvlText w:val="(%1)"/>
      <w:numFmt w:val="lowerLetter"/>
      <w:start w:val="14"/>
    </w:lvl>
  </w:abstractNum>
  <w:abstractNum w:abstractNumId="132">
    <w:nsid w:val="2E22FBB7"/>
    <w:multiLevelType w:val="hybridMultilevel"/>
    <w:lvl w:ilvl="0">
      <w:lvlJc w:val="left"/>
      <w:lvlText w:val="%1."/>
      <w:numFmt w:val="decimal"/>
      <w:start w:val="1"/>
    </w:lvl>
  </w:abstractNum>
  <w:abstractNum w:abstractNumId="133">
    <w:nsid w:val="29934699"/>
    <w:multiLevelType w:val="hybridMultilevel"/>
    <w:lvl w:ilvl="0">
      <w:lvlJc w:val="left"/>
      <w:lvlText w:val="%1."/>
      <w:numFmt w:val="decimal"/>
      <w:start w:val="4"/>
    </w:lvl>
  </w:abstractNum>
  <w:abstractNum w:abstractNumId="134">
    <w:nsid w:val="77485850"/>
    <w:multiLevelType w:val="hybridMultilevel"/>
    <w:lvl w:ilvl="0">
      <w:lvlJc w:val="left"/>
      <w:lvlText w:val="%1."/>
      <w:numFmt w:val="decimal"/>
      <w:start w:val="8"/>
    </w:lvl>
  </w:abstractNum>
  <w:abstractNum w:abstractNumId="135">
    <w:nsid w:val="744939A3"/>
    <w:multiLevelType w:val="hybridMultilevel"/>
    <w:lvl w:ilvl="0">
      <w:lvlJc w:val="left"/>
      <w:lvlText w:val="(%1)"/>
      <w:numFmt w:val="lowerLetter"/>
      <w:start w:val="1"/>
    </w:lvl>
  </w:abstractNum>
  <w:abstractNum w:abstractNumId="136">
    <w:nsid w:val="4FA0D2E3"/>
    <w:multiLevelType w:val="hybridMultilevel"/>
    <w:lvl w:ilvl="0">
      <w:lvlJc w:val="left"/>
      <w:lvlText w:val="(%1)"/>
      <w:numFmt w:val="lowerRoman"/>
      <w:start w:val="1"/>
    </w:lvl>
  </w:abstractNum>
  <w:abstractNum w:abstractNumId="137">
    <w:nsid w:val="6B1D2C14"/>
    <w:multiLevelType w:val="hybridMultilevel"/>
    <w:lvl w:ilvl="0">
      <w:lvlJc w:val="left"/>
      <w:lvlText w:val="(%1)"/>
      <w:numFmt w:val="lowerLetter"/>
      <w:start w:val="2"/>
    </w:lvl>
    <w:lvl w:ilvl="1">
      <w:lvlJc w:val="left"/>
      <w:lvlText w:val="(%2)"/>
      <w:numFmt w:val="lowerLetter"/>
      <w:start w:val="9"/>
    </w:lvl>
  </w:abstractNum>
  <w:abstractNum w:abstractNumId="138">
    <w:nsid w:val="68B867D3"/>
    <w:multiLevelType w:val="hybridMultilevel"/>
    <w:lvl w:ilvl="0">
      <w:lvlJc w:val="left"/>
      <w:lvlText w:val="(%1)"/>
      <w:numFmt w:val="lowerRoman"/>
      <w:start w:val="2"/>
    </w:lvl>
  </w:abstractNum>
  <w:abstractNum w:abstractNumId="139">
    <w:nsid w:val="3F7F5DD9"/>
    <w:multiLevelType w:val="hybridMultilevel"/>
    <w:lvl w:ilvl="0">
      <w:lvlJc w:val="left"/>
      <w:lvlText w:val="%1"/>
      <w:numFmt w:val="upperLetter"/>
      <w:start w:val="1"/>
    </w:lvl>
    <w:lvl w:ilvl="1">
      <w:lvlJc w:val="left"/>
      <w:lvlText w:val="(%2)"/>
      <w:numFmt w:val="lowerRoman"/>
      <w:start w:val="4"/>
    </w:lvl>
  </w:abstractNum>
  <w:abstractNum w:abstractNumId="140">
    <w:nsid w:val="2AE05A34"/>
    <w:multiLevelType w:val="hybridMultilevel"/>
    <w:lvl w:ilvl="0">
      <w:lvlJc w:val="left"/>
      <w:lvlText w:val="(%1)"/>
      <w:numFmt w:val="upperLetter"/>
      <w:start w:val="3"/>
    </w:lvl>
    <w:lvl w:ilvl="1">
      <w:lvlJc w:val="left"/>
      <w:lvlText w:val="(%2)"/>
      <w:numFmt w:val="lowerRoman"/>
      <w:start w:val="6"/>
    </w:lvl>
  </w:abstractNum>
  <w:abstractNum w:abstractNumId="141">
    <w:nsid w:val="32794FF7"/>
    <w:multiLevelType w:val="hybridMultilevel"/>
    <w:lvl w:ilvl="0">
      <w:lvlJc w:val="left"/>
      <w:lvlText w:val="%1"/>
      <w:numFmt w:val="lowerLetter"/>
      <w:start w:val="1"/>
    </w:lvl>
    <w:lvl w:ilvl="1">
      <w:lvlJc w:val="left"/>
      <w:lvlText w:val="(%2)"/>
      <w:numFmt w:val="lowerRoman"/>
      <w:start w:val="7"/>
    </w:lvl>
  </w:abstractNum>
  <w:abstractNum w:abstractNumId="142">
    <w:nsid w:val="5454945E"/>
    <w:multiLevelType w:val="hybridMultilevel"/>
    <w:lvl w:ilvl="0">
      <w:lvlJc w:val="left"/>
      <w:lvlText w:val="(%1)"/>
      <w:numFmt w:val="lowerLetter"/>
      <w:start w:val="3"/>
    </w:lvl>
    <w:lvl w:ilvl="1">
      <w:lvlJc w:val="left"/>
      <w:lvlText w:val="%2"/>
      <w:numFmt w:val="lowerRoman"/>
      <w:start w:val="1"/>
    </w:lvl>
  </w:abstractNum>
  <w:abstractNum w:abstractNumId="143">
    <w:nsid w:val="4DEFDFA0"/>
    <w:multiLevelType w:val="hybridMultilevel"/>
    <w:lvl w:ilvl="0">
      <w:lvlJc w:val="left"/>
      <w:lvlText w:val="%1."/>
      <w:numFmt w:val="decimal"/>
      <w:start w:val="1"/>
    </w:lvl>
  </w:abstractNum>
  <w:abstractNum w:abstractNumId="144">
    <w:nsid w:val="2123D5F2"/>
    <w:multiLevelType w:val="hybridMultilevel"/>
    <w:lvl w:ilvl="0">
      <w:lvlJc w:val="left"/>
      <w:lvlText w:val="%1."/>
      <w:numFmt w:val="decimal"/>
      <w:start w:val="2"/>
    </w:lvl>
  </w:abstractNum>
  <w:abstractNum w:abstractNumId="145">
    <w:nsid w:val="135B8110"/>
    <w:multiLevelType w:val="hybridMultilevel"/>
    <w:lvl w:ilvl="0">
      <w:lvlJc w:val="left"/>
      <w:lvlText w:val="%1."/>
      <w:numFmt w:val="decimal"/>
      <w:start w:val="3"/>
    </w:lvl>
    <w:lvl w:ilvl="1">
      <w:lvlJc w:val="left"/>
      <w:lvlText w:val="(%2)"/>
      <w:numFmt w:val="lowerLetter"/>
      <w:start w:val="1"/>
    </w:lvl>
  </w:abstractNum>
  <w:abstractNum w:abstractNumId="146">
    <w:nsid w:val="94927A8"/>
    <w:multiLevelType w:val="hybridMultilevel"/>
    <w:lvl w:ilvl="0">
      <w:lvlJc w:val="left"/>
      <w:lvlText w:val="%1."/>
      <w:numFmt w:val="decimal"/>
      <w:start w:val="6"/>
    </w:lvl>
  </w:abstractNum>
  <w:abstractNum w:abstractNumId="147">
    <w:nsid w:val="DCDF8F6"/>
    <w:multiLevelType w:val="hybridMultilevel"/>
    <w:lvl w:ilvl="0">
      <w:lvlJc w:val="left"/>
      <w:lvlText w:val="%1."/>
      <w:numFmt w:val="upperLetter"/>
      <w:start w:val="1"/>
    </w:lvl>
  </w:abstractNum>
  <w:abstractNum w:abstractNumId="148">
    <w:nsid w:val="52D7B105"/>
    <w:multiLevelType w:val="hybridMultilevel"/>
    <w:lvl w:ilvl="0">
      <w:lvlJc w:val="left"/>
      <w:lvlText w:val="%1."/>
      <w:numFmt w:val="decimal"/>
      <w:start w:val="1"/>
    </w:lvl>
  </w:abstractNum>
  <w:abstractNum w:abstractNumId="149">
    <w:nsid w:val="2E8A6394"/>
    <w:multiLevelType w:val="hybridMultilevel"/>
    <w:lvl w:ilvl="0">
      <w:lvlJc w:val="left"/>
      <w:lvlText w:val="%1."/>
      <w:numFmt w:val="decimal"/>
      <w:start w:val="2"/>
    </w:lvl>
  </w:abstractNum>
  <w:abstractNum w:abstractNumId="150">
    <w:nsid w:val="24E60401"/>
    <w:multiLevelType w:val="hybridMultilevel"/>
    <w:lvl w:ilvl="0">
      <w:lvlJc w:val="left"/>
      <w:lvlText w:val="(%1)"/>
      <w:numFmt w:val="lowerLetter"/>
      <w:start w:val="1"/>
    </w:lvl>
  </w:abstractNum>
  <w:abstractNum w:abstractNumId="151">
    <w:nsid w:val="2A6AD9BE"/>
    <w:multiLevelType w:val="hybridMultilevel"/>
    <w:lvl w:ilvl="0">
      <w:lvlJc w:val="left"/>
      <w:lvlText w:val="(%1)"/>
      <w:numFmt w:val="lowerLetter"/>
      <w:start w:val="3"/>
    </w:lvl>
  </w:abstractNum>
  <w:abstractNum w:abstractNumId="152">
    <w:nsid w:val="BAAC1B4"/>
    <w:multiLevelType w:val="hybridMultilevel"/>
    <w:lvl w:ilvl="0">
      <w:lvlJc w:val="left"/>
      <w:lvlText w:val="(%1)"/>
      <w:numFmt w:val="decimal"/>
      <w:start w:val="1"/>
    </w:lvl>
  </w:abstractNum>
  <w:abstractNum w:abstractNumId="153">
    <w:nsid w:val="36B2ACBC"/>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54">
    <w:nsid w:val="779D8544"/>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155">
    <w:nsid w:val="4AB26E78"/>
    <w:multiLevelType w:val="hybridMultilevel"/>
    <w:lvl w:ilvl="0">
      <w:lvlJc w:val="left"/>
      <w:lvlText w:val="(%1)"/>
      <w:numFmt w:val="lowerLetter"/>
      <w:start w:val="2"/>
    </w:lvl>
  </w:abstractNum>
  <w:abstractNum w:abstractNumId="156">
    <w:nsid w:val="21FAA2FA"/>
    <w:multiLevelType w:val="hybridMultilevel"/>
    <w:lvl w:ilvl="0">
      <w:lvlJc w:val="left"/>
      <w:lvlText w:val="(%1)"/>
      <w:numFmt w:val="lowerLetter"/>
      <w:start w:val="3"/>
    </w:lvl>
  </w:abstractNum>
  <w:abstractNum w:abstractNumId="157">
    <w:nsid w:val="5451CF49"/>
    <w:multiLevelType w:val="hybridMultilevel"/>
    <w:lvl w:ilvl="0">
      <w:lvlJc w:val="left"/>
      <w:lvlText w:val="(%1)"/>
      <w:numFmt w:val="lowerLetter"/>
      <w:start w:val="5"/>
    </w:lvl>
  </w:abstractNum>
  <w:abstractNum w:abstractNumId="158">
    <w:nsid w:val="6181EF6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9">
    <w:nsid w:val="3E6400E6"/>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60">
    <w:nsid w:val="14217E2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1">
    <w:nsid w:val="710757D0"/>
    <w:multiLevelType w:val="hybridMultilevel"/>
    <w:lvl w:ilvl="0">
      <w:lvlJc w:val="left"/>
      <w:lvlText w:val="%1"/>
      <w:numFmt w:val="decimal"/>
      <w:start w:val="1"/>
    </w:lvl>
    <w:lvl w:ilvl="1">
      <w:lvlJc w:val="left"/>
      <w:lvlText w:val="(%2)"/>
      <w:numFmt w:val="lowerLetter"/>
      <w:start w:val="4"/>
    </w:lvl>
  </w:abstractNum>
  <w:abstractNum w:abstractNumId="162">
    <w:nsid w:val="5015CD1A"/>
    <w:multiLevelType w:val="hybridMultilevel"/>
    <w:lvl w:ilvl="0">
      <w:lvlJc w:val="left"/>
      <w:lvlText w:val="%1."/>
      <w:numFmt w:val="decimal"/>
      <w:start w:val="6"/>
    </w:lvl>
    <w:lvl w:ilvl="1">
      <w:lvlJc w:val="left"/>
      <w:lvlText w:val="(%2)"/>
      <w:numFmt w:val="lowerLetter"/>
      <w:start w:val="1"/>
    </w:lvl>
  </w:abstractNum>
  <w:abstractNum w:abstractNumId="163">
    <w:nsid w:val="424479DA"/>
    <w:multiLevelType w:val="hybridMultilevel"/>
    <w:lvl w:ilvl="0">
      <w:lvlJc w:val="left"/>
      <w:lvlText w:val="%1"/>
      <w:numFmt w:val="decimal"/>
      <w:start w:val="1"/>
    </w:lvl>
    <w:lvl w:ilvl="1">
      <w:lvlJc w:val="left"/>
      <w:lvlText w:val="(%2)"/>
      <w:numFmt w:val="lowerLetter"/>
      <w:start w:val="3"/>
    </w:lvl>
  </w:abstractNum>
  <w:abstractNum w:abstractNumId="164">
    <w:nsid w:val="1A9A9E69"/>
    <w:multiLevelType w:val="hybridMultilevel"/>
    <w:lvl w:ilvl="0">
      <w:lvlJc w:val="left"/>
      <w:lvlText w:val="%1."/>
      <w:numFmt w:val="decimal"/>
      <w:start w:val="8"/>
    </w:lvl>
    <w:lvl w:ilvl="1">
      <w:lvlJc w:val="left"/>
      <w:lvlText w:val="%2"/>
      <w:numFmt w:val="lowerLetter"/>
      <w:start w:val="1"/>
    </w:lvl>
  </w:abstractNum>
  <w:abstractNum w:abstractNumId="165">
    <w:nsid w:val="475E256A"/>
    <w:multiLevelType w:val="hybridMultilevel"/>
    <w:lvl w:ilvl="0">
      <w:lvlJc w:val="left"/>
      <w:lvlText w:val="%1."/>
      <w:numFmt w:val="decimal"/>
      <w:start w:val="9"/>
    </w:lvl>
  </w:abstractNum>
  <w:abstractNum w:abstractNumId="166">
    <w:nsid w:val="368DB37E"/>
    <w:multiLevelType w:val="hybridMultilevel"/>
    <w:lvl w:ilvl="0">
      <w:lvlJc w:val="left"/>
      <w:lvlText w:val="%1."/>
      <w:numFmt w:val="decimal"/>
      <w:start w:val="10"/>
    </w:lvl>
    <w:lvl w:ilvl="1">
      <w:lvlJc w:val="left"/>
      <w:lvlText w:val="(%2)"/>
      <w:numFmt w:val="lowerLetter"/>
      <w:start w:val="1"/>
    </w:lvl>
  </w:abstractNum>
  <w:abstractNum w:abstractNumId="167">
    <w:nsid w:val="6A3B714C"/>
    <w:multiLevelType w:val="hybridMultilevel"/>
    <w:lvl w:ilvl="0">
      <w:lvlJc w:val="left"/>
      <w:lvlText w:val="(%1)"/>
      <w:numFmt w:val="lowerLetter"/>
      <w:start w:val="4"/>
    </w:lvl>
  </w:abstractNum>
  <w:abstractNum w:abstractNumId="168">
    <w:nsid w:val="327B517E"/>
    <w:multiLevelType w:val="hybridMultilevel"/>
    <w:lvl w:ilvl="0">
      <w:lvlJc w:val="left"/>
      <w:lvlText w:val="(%1)"/>
      <w:numFmt w:val="lowerLetter"/>
      <w:start w:val="9"/>
    </w:lvl>
  </w:abstractNum>
  <w:abstractNum w:abstractNumId="169">
    <w:nsid w:val="1F461B51"/>
    <w:multiLevelType w:val="hybridMultilevel"/>
    <w:lvl w:ilvl="0">
      <w:lvlJc w:val="left"/>
      <w:lvlText w:val="(%1)"/>
      <w:numFmt w:val="lowerLetter"/>
      <w:start w:val="16"/>
    </w:lvl>
  </w:abstractNum>
  <w:abstractNum w:abstractNumId="170">
    <w:nsid w:val="29BACF25"/>
    <w:multiLevelType w:val="hybridMultilevel"/>
    <w:lvl w:ilvl="0">
      <w:lvlJc w:val="left"/>
      <w:lvlText w:val="%1."/>
      <w:numFmt w:val="decimal"/>
      <w:start w:val="1"/>
    </w:lvl>
  </w:abstractNum>
  <w:abstractNum w:abstractNumId="171">
    <w:nsid w:val="5D5BABB3"/>
    <w:multiLevelType w:val="hybridMultilevel"/>
    <w:lvl w:ilvl="0">
      <w:lvlJc w:val="left"/>
      <w:lvlText w:val="(%1)"/>
      <w:numFmt w:val="lowerLetter"/>
      <w:start w:val="1"/>
    </w:lvl>
  </w:abstractNum>
  <w:abstractNum w:abstractNumId="172">
    <w:nsid w:val="51BF6B48"/>
    <w:multiLevelType w:val="hybridMultilevel"/>
    <w:lvl w:ilvl="0">
      <w:lvlJc w:val="left"/>
      <w:lvlText w:val="%1:"/>
      <w:numFmt w:val="upperLetter"/>
      <w:start w:val="16"/>
    </w:lvl>
  </w:abstractNum>
  <w:abstractNum w:abstractNumId="173">
    <w:nsid w:val="7E0F6384"/>
    <w:multiLevelType w:val="hybridMultilevel"/>
    <w:lvl w:ilvl="0">
      <w:lvlJc w:val="left"/>
      <w:lvlText w:val="(%1)"/>
      <w:numFmt w:val="lowerLetter"/>
      <w:start w:val="3"/>
    </w:lvl>
  </w:abstractNum>
  <w:abstractNum w:abstractNumId="174">
    <w:nsid w:val="2B4B8B53"/>
    <w:multiLevelType w:val="hybridMultilevel"/>
    <w:lvl w:ilvl="0">
      <w:lvlJc w:val="left"/>
      <w:lvlText w:val="%1."/>
      <w:numFmt w:val="decimal"/>
      <w:start w:val="2"/>
    </w:lvl>
  </w:abstractNum>
  <w:abstractNum w:abstractNumId="175">
    <w:nsid w:val="72E3413A"/>
    <w:multiLevelType w:val="hybridMultilevel"/>
    <w:lvl w:ilvl="0">
      <w:lvlJc w:val="left"/>
      <w:lvlText w:val="%1."/>
      <w:numFmt w:val="decimal"/>
      <w:start w:val="3"/>
    </w:lvl>
  </w:abstractNum>
  <w:abstractNum w:abstractNumId="176">
    <w:nsid w:val="116AE494"/>
    <w:multiLevelType w:val="hybridMultilevel"/>
    <w:lvl w:ilvl="0">
      <w:lvlJc w:val="left"/>
      <w:lvlText w:val="%1."/>
      <w:numFmt w:val="decimal"/>
      <w:start w:val="4"/>
    </w:lvl>
  </w:abstractNum>
  <w:abstractNum w:abstractNumId="177">
    <w:nsid w:val="3494B2FB"/>
    <w:multiLevelType w:val="hybridMultilevel"/>
    <w:lvl w:ilvl="0">
      <w:lvlJc w:val="left"/>
      <w:lvlText w:val="(%1)"/>
      <w:numFmt w:val="lowerLetter"/>
      <w:start w:val="1"/>
    </w:lvl>
  </w:abstractNum>
  <w:abstractNum w:abstractNumId="178">
    <w:nsid w:val="B13A31"/>
    <w:multiLevelType w:val="hybridMultilevel"/>
    <w:lvl w:ilvl="0">
      <w:lvlJc w:val="left"/>
      <w:lvlText w:val="%1."/>
      <w:numFmt w:val="decimal"/>
      <w:start w:val="5"/>
    </w:lvl>
  </w:abstractNum>
  <w:abstractNum w:abstractNumId="179">
    <w:nsid w:val="64429599"/>
    <w:multiLevelType w:val="hybridMultilevel"/>
    <w:lvl w:ilvl="0">
      <w:lvlJc w:val="left"/>
      <w:lvlText w:val="%1."/>
      <w:numFmt w:val="decimal"/>
      <w:start w:val="6"/>
    </w:lvl>
  </w:abstractNum>
  <w:abstractNum w:abstractNumId="180">
    <w:nsid w:val="631F1690"/>
    <w:multiLevelType w:val="hybridMultilevel"/>
    <w:lvl w:ilvl="0">
      <w:lvlJc w:val="left"/>
      <w:lvlText w:val="%1."/>
      <w:numFmt w:val="decimal"/>
      <w:start w:val="7"/>
    </w:lvl>
  </w:abstractNum>
  <w:abstractNum w:abstractNumId="181">
    <w:nsid w:val="25973E32"/>
    <w:multiLevelType w:val="hybridMultilevel"/>
    <w:lvl w:ilvl="0">
      <w:lvlJc w:val="left"/>
      <w:lvlText w:val="%1."/>
      <w:numFmt w:val="decimal"/>
      <w:start w:val="8"/>
    </w:lvl>
  </w:abstractNum>
  <w:abstractNum w:abstractNumId="182">
    <w:nsid w:val="EAD6F57"/>
    <w:multiLevelType w:val="hybridMultilevel"/>
    <w:lvl w:ilvl="0">
      <w:lvlJc w:val="left"/>
      <w:lvlText w:val="(%1)"/>
      <w:numFmt w:val="lowerLetter"/>
      <w:start w:val="1"/>
    </w:lvl>
  </w:abstractNum>
  <w:abstractNum w:abstractNumId="183">
    <w:nsid w:val="6EC9D844"/>
    <w:multiLevelType w:val="hybridMultilevel"/>
    <w:lvl w:ilvl="0">
      <w:lvlJc w:val="left"/>
      <w:lvlText w:val="%1."/>
      <w:numFmt w:val="decimal"/>
      <w:start w:val="9"/>
    </w:lvl>
  </w:abstractNum>
  <w:abstractNum w:abstractNumId="184">
    <w:nsid w:val="5C49EAEE"/>
    <w:multiLevelType w:val="hybridMultilevel"/>
    <w:lvl w:ilvl="0">
      <w:lvlJc w:val="left"/>
      <w:lvlText w:val="%1."/>
      <w:numFmt w:val="decimal"/>
      <w:start w:val="10"/>
    </w:lvl>
  </w:abstractNum>
  <w:abstractNum w:abstractNumId="185">
    <w:nsid w:val="64AF49B"/>
    <w:multiLevelType w:val="hybridMultilevel"/>
    <w:lvl w:ilvl="0">
      <w:lvlJc w:val="left"/>
      <w:lvlText w:val="%1."/>
      <w:numFmt w:val="decimal"/>
      <w:start w:val="11"/>
    </w:lvl>
  </w:abstractNum>
  <w:abstractNum w:abstractNumId="186">
    <w:nsid w:val="397C46BC"/>
    <w:multiLevelType w:val="hybridMultilevel"/>
    <w:lvl w:ilvl="0">
      <w:lvlJc w:val="left"/>
      <w:lvlText w:val="•"/>
      <w:numFmt w:val="bullet"/>
      <w:start w:val="1"/>
    </w:lvl>
  </w:abstractNum>
  <w:abstractNum w:abstractNumId="187">
    <w:nsid w:val="7E448DE9"/>
    <w:multiLevelType w:val="hybridMultilevel"/>
    <w:lvl w:ilvl="0">
      <w:lvlJc w:val="left"/>
      <w:lvlText w:val="%1."/>
      <w:numFmt w:val="decimal"/>
      <w:start w:val="12"/>
    </w:lvl>
  </w:abstractNum>
  <w:abstractNum w:abstractNumId="188">
    <w:nsid w:val="5A9CC3E5"/>
    <w:multiLevelType w:val="hybridMultilevel"/>
    <w:lvl w:ilvl="0">
      <w:lvlJc w:val="left"/>
      <w:lvlText w:val="%1."/>
      <w:numFmt w:val="decimal"/>
      <w:start w:val="13"/>
    </w:lvl>
  </w:abstractNum>
  <w:abstractNum w:abstractNumId="189">
    <w:nsid w:val="1AFE3625"/>
    <w:multiLevelType w:val="hybridMultilevel"/>
    <w:lvl w:ilvl="0">
      <w:lvlJc w:val="left"/>
      <w:lvlText w:val="(%1)"/>
      <w:numFmt w:val="lowerLetter"/>
      <w:start w:val="1"/>
    </w:lvl>
  </w:abstractNum>
  <w:abstractNum w:abstractNumId="190">
    <w:nsid w:val="3CA88ECF"/>
    <w:multiLevelType w:val="hybridMultilevel"/>
    <w:lvl w:ilvl="0">
      <w:lvlJc w:val="left"/>
      <w:lvlText w:val="(%1)"/>
      <w:numFmt w:val="lowerLetter"/>
      <w:start w:val="4"/>
    </w:lvl>
  </w:abstractNum>
  <w:abstractNum w:abstractNumId="191">
    <w:nsid w:val="6EBE4208"/>
    <w:multiLevelType w:val="hybridMultilevel"/>
    <w:lvl w:ilvl="0">
      <w:lvlJc w:val="left"/>
      <w:lvlText w:val="(%1)"/>
      <w:numFmt w:val="lowerLetter"/>
      <w:start w:val="10"/>
    </w:lvl>
  </w:abstractNum>
  <w:abstractNum w:abstractNumId="192">
    <w:nsid w:val="C058DF5"/>
    <w:multiLevelType w:val="hybridMultilevel"/>
    <w:lvl w:ilvl="0">
      <w:lvlJc w:val="left"/>
      <w:lvlText w:val="%1."/>
      <w:numFmt w:val="decimal"/>
      <w:start w:val="1"/>
    </w:lvl>
    <w:lvl w:ilvl="1">
      <w:lvlJc w:val="left"/>
      <w:lvlText w:val="(%2)"/>
      <w:numFmt w:val="lowerLetter"/>
      <w:start w:val="1"/>
    </w:lvl>
  </w:abstractNum>
  <w:abstractNum w:abstractNumId="193">
    <w:nsid w:val="CBE5BE9"/>
    <w:multiLevelType w:val="hybridMultilevel"/>
    <w:lvl w:ilvl="0">
      <w:lvlJc w:val="left"/>
      <w:lvlText w:val="%1."/>
      <w:numFmt w:val="decimal"/>
      <w:start w:val="1"/>
    </w:lvl>
    <w:lvl w:ilvl="1">
      <w:lvlJc w:val="left"/>
      <w:lvlText w:val="(%2)"/>
      <w:numFmt w:val="lowerLetter"/>
      <w:start w:val="1"/>
    </w:lvl>
  </w:abstractNum>
  <w:abstractNum w:abstractNumId="194">
    <w:nsid w:val="3102BBE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jpe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60" Type="http://schemas.openxmlformats.org/officeDocument/2006/relationships/hyperlink" Target="http://www.sec.gov/Archives/edgar/data/912242/000110465914081468/a14-24669_1ex2d1.htm" TargetMode="External"/><Relationship Id="rId61" Type="http://schemas.openxmlformats.org/officeDocument/2006/relationships/hyperlink" Target="http://www.sec.gov/Archives/edgar/data/912242/0001047469-99-012492.txt" TargetMode="External"/><Relationship Id="rId62" Type="http://schemas.openxmlformats.org/officeDocument/2006/relationships/hyperlink" Target="http://www.sec.gov/Archives/edgar/data/912242/000091205702030706/a2086079zex-3_1.htm" TargetMode="External"/><Relationship Id="rId63" Type="http://schemas.openxmlformats.org/officeDocument/2006/relationships/hyperlink" Target="http://www.sec.gov/Archives/edgar/data/912242/000091205702021417/a2080342zex-4_6.htm" TargetMode="External"/><Relationship Id="rId64" Type="http://schemas.openxmlformats.org/officeDocument/2006/relationships/hyperlink" Target="http://www.sec.gov/Archives/edgar/data/912242/000104746909001981/a2189901zex-3_15.htm" TargetMode="External"/><Relationship Id="rId65" Type="http://schemas.openxmlformats.org/officeDocument/2006/relationships/hyperlink" Target="http://www.sec.gov/Archives/edgar/data/912242/000110465909008348/a09-5253_1ex3d1.htm" TargetMode="External"/><Relationship Id="rId66" Type="http://schemas.openxmlformats.org/officeDocument/2006/relationships/hyperlink" Target="http://www.sec.gov/Archives/edgar/data/912242/000104746909007391/a2193924zex-3_17.htm" TargetMode="External"/><Relationship Id="rId67" Type="http://schemas.openxmlformats.org/officeDocument/2006/relationships/hyperlink" Target="http://www.sec.gov/Archives/edgar/data/912242/000110465914043330/a14-14485_1ex3d1.htm" TargetMode="External"/><Relationship Id="rId68" Type="http://schemas.openxmlformats.org/officeDocument/2006/relationships/hyperlink" Target="http://www.sec.gov/Archives/edgar/data/912242/000110465915020412/a15-6870_1ex3d1.htm" TargetMode="External"/><Relationship Id="rId69" Type="http://schemas.openxmlformats.org/officeDocument/2006/relationships/hyperlink" Target="http://www.sec.gov/Archives/edgar/data/912242/000110465915020810/a15-6873_1ex3d1.htm" TargetMode="External"/><Relationship Id="rId70" Type="http://schemas.openxmlformats.org/officeDocument/2006/relationships/hyperlink" Target="http://www.sec.gov/Archives/edgar/data/912242/000110465915037228/a15-11185_1ex3d1.htm" TargetMode="External"/><Relationship Id="rId71" Type="http://schemas.openxmlformats.org/officeDocument/2006/relationships/hyperlink" Target="http://www.sec.gov/Archives/edgar/data/912242/000110465915042631/a15-13305_1ex3d1.htm" TargetMode="External"/><Relationship Id="rId72" Type="http://schemas.openxmlformats.org/officeDocument/2006/relationships/hyperlink" Target="http://www.sec.gov/Archives/edgar/data/912242/000119312519129272/d731295dex31.htm" TargetMode="External"/><Relationship Id="rId73" Type="http://schemas.openxmlformats.org/officeDocument/2006/relationships/hyperlink" Target="https://www.sec.gov/Archives/edgar/data/912242/000119312521182973/d417870dex31.htm" TargetMode="External"/><Relationship Id="rId74"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2024-05-09T10:18:20Z</dcterms:created>
  <dcterms:modified xsi:type="dcterms:W3CDTF">2024-05-09T10:18:20Z</dcterms:modified>
</cp:coreProperties>
</file>