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206375</wp:posOffset>
            </wp:positionH>
            <wp:positionV relativeFrom="page">
              <wp:posOffset>1388110</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7"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34" w:lineRule="exact"/>
        <w:rPr>
          <w:rFonts w:ascii="MS PGothic" w:cs="MS PGothic" w:eastAsia="MS PGothic" w:hAnsi="MS PGothic"/>
          <w:sz w:val="21"/>
          <w:szCs w:val="21"/>
          <w:color w:val="auto"/>
        </w:rPr>
      </w:pPr>
    </w:p>
    <w:p>
      <w:pPr>
        <w:ind w:left="640"/>
        <w:spacing w:after="0"/>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For the quarterly period ended March 31, 2026</w:t>
      </w:r>
    </w:p>
    <w:p>
      <w:pPr>
        <w:spacing w:after="0" w:line="200" w:lineRule="exact"/>
        <w:rPr>
          <w:sz w:val="24"/>
          <w:szCs w:val="24"/>
          <w:color w:val="auto"/>
        </w:rPr>
      </w:pPr>
    </w:p>
    <w:p>
      <w:pPr>
        <w:ind w:left="360" w:hanging="355"/>
        <w:spacing w:after="0"/>
        <w:tabs>
          <w:tab w:leader="none" w:pos="3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00" w:lineRule="exact"/>
        <w:rPr>
          <w:sz w:val="24"/>
          <w:szCs w:val="24"/>
          <w:color w:val="auto"/>
        </w:rPr>
      </w:pPr>
    </w:p>
    <w:p>
      <w:pPr>
        <w:spacing w:after="0" w:line="27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7"/>
          <w:szCs w:val="17"/>
          <w:color w:val="auto"/>
        </w:rPr>
        <w:t>Commission File No.: 1-12504</w:t>
      </w:r>
    </w:p>
    <w:p>
      <w:pPr>
        <w:spacing w:after="0" w:line="15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7"/>
          <w:szCs w:val="17"/>
          <w:color w:val="auto"/>
        </w:rPr>
        <w:t>THE MACERICH COMPANY</w:t>
      </w:r>
    </w:p>
    <w:p>
      <w:pPr>
        <w:spacing w:after="0" w:line="3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080"/>
          </w:cols>
          <w:pgMar w:left="320" w:top="1440" w:right="499" w:bottom="1440" w:gutter="0" w:footer="0" w:header="0"/>
        </w:sectPr>
      </w:pPr>
    </w:p>
    <w:p>
      <w:pPr>
        <w:spacing w:after="0" w:line="40"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5"/>
          <w:szCs w:val="15"/>
          <w:color w:val="auto"/>
        </w:rPr>
        <w:t>Maryland</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95-4448705</w:t>
      </w:r>
    </w:p>
    <w:p>
      <w:pPr>
        <w:spacing w:after="0" w:line="29" w:lineRule="exact"/>
        <w:rPr>
          <w:sz w:val="24"/>
          <w:szCs w:val="24"/>
          <w:color w:val="auto"/>
        </w:rPr>
      </w:pPr>
    </w:p>
    <w:p>
      <w:pPr>
        <w:sectPr>
          <w:pgSz w:w="11900" w:h="16838" w:orient="portrait"/>
          <w:cols w:equalWidth="0" w:num="2">
            <w:col w:w="7320" w:space="720"/>
            <w:col w:w="3040"/>
          </w:cols>
          <w:pgMar w:left="320" w:top="1440" w:right="499" w:bottom="1440" w:gutter="0" w:footer="0" w:header="0"/>
          <w:type w:val="continuous"/>
        </w:sectPr>
      </w:pPr>
    </w:p>
    <w:p>
      <w:pPr>
        <w:ind w:left="1940"/>
        <w:spacing w:after="0"/>
        <w:rPr>
          <w:sz w:val="20"/>
          <w:szCs w:val="20"/>
          <w:color w:val="auto"/>
        </w:rPr>
      </w:pPr>
      <w:r>
        <w:rPr>
          <w:rFonts w:ascii="Times New Roman" w:cs="Times New Roman" w:eastAsia="Times New Roman" w:hAnsi="Times New Roman"/>
          <w:sz w:val="16"/>
          <w:szCs w:val="16"/>
          <w:color w:val="auto"/>
        </w:rPr>
        <w:t>(State or other jurisdiction of</w:t>
      </w:r>
    </w:p>
    <w:p>
      <w:pPr>
        <w:ind w:left="1920"/>
        <w:spacing w:after="0"/>
        <w:rPr>
          <w:sz w:val="20"/>
          <w:szCs w:val="20"/>
          <w:color w:val="auto"/>
        </w:rPr>
      </w:pPr>
      <w:r>
        <w:rPr>
          <w:rFonts w:ascii="Times New Roman" w:cs="Times New Roman" w:eastAsia="Times New Roman" w:hAnsi="Times New Roman"/>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(I.R.S. Employer Identification Number)</w:t>
      </w:r>
    </w:p>
    <w:p>
      <w:pPr>
        <w:spacing w:after="0" w:line="194" w:lineRule="exact"/>
        <w:rPr>
          <w:sz w:val="24"/>
          <w:szCs w:val="24"/>
          <w:color w:val="auto"/>
        </w:rPr>
      </w:pPr>
    </w:p>
    <w:p>
      <w:pPr>
        <w:sectPr>
          <w:pgSz w:w="11900" w:h="16838" w:orient="portrait"/>
          <w:cols w:equalWidth="0" w:num="2">
            <w:col w:w="6420" w:space="720"/>
            <w:col w:w="3940"/>
          </w:cols>
          <w:pgMar w:left="320" w:top="1440" w:right="499" w:bottom="1440" w:gutter="0" w:footer="0" w:header="0"/>
          <w:type w:val="continuous"/>
        </w:sectPr>
      </w:pPr>
    </w:p>
    <w:p>
      <w:pPr>
        <w:jc w:val="center"/>
        <w:ind w:left="420"/>
        <w:spacing w:after="0"/>
        <w:rPr>
          <w:sz w:val="20"/>
          <w:szCs w:val="20"/>
          <w:color w:val="auto"/>
        </w:rPr>
      </w:pPr>
      <w:r>
        <w:rPr>
          <w:rFonts w:ascii="Times New Roman" w:cs="Times New Roman" w:eastAsia="Times New Roman" w:hAnsi="Times New Roman"/>
          <w:sz w:val="15"/>
          <w:szCs w:val="15"/>
          <w:color w:val="auto"/>
        </w:rPr>
        <w:t>401 Wilshire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Santa Monica,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90401</w:t>
      </w:r>
    </w:p>
    <w:p>
      <w:pPr>
        <w:spacing w:after="0" w:line="26" w:lineRule="exact"/>
        <w:rPr>
          <w:sz w:val="24"/>
          <w:szCs w:val="24"/>
          <w:color w:val="auto"/>
        </w:rPr>
      </w:pPr>
    </w:p>
    <w:p>
      <w:pPr>
        <w:sectPr>
          <w:pgSz w:w="11900" w:h="16838" w:orient="portrait"/>
          <w:cols w:equalWidth="0" w:num="5">
            <w:col w:w="1980" w:space="440"/>
            <w:col w:w="640" w:space="360"/>
            <w:col w:w="920" w:space="420"/>
            <w:col w:w="2740" w:space="720"/>
            <w:col w:w="2860"/>
          </w:cols>
          <w:pgMar w:left="320" w:top="1440" w:right="49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5"/>
          <w:szCs w:val="15"/>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(Zip Code)</w:t>
      </w:r>
    </w:p>
    <w:p>
      <w:pPr>
        <w:spacing w:after="0" w:line="37" w:lineRule="exact"/>
        <w:rPr>
          <w:sz w:val="24"/>
          <w:szCs w:val="24"/>
          <w:color w:val="auto"/>
        </w:rPr>
      </w:pPr>
    </w:p>
    <w:p>
      <w:pPr>
        <w:sectPr>
          <w:pgSz w:w="11900" w:h="16838" w:orient="portrait"/>
          <w:cols w:equalWidth="0" w:num="2">
            <w:col w:w="7340" w:space="720"/>
            <w:col w:w="3020"/>
          </w:cols>
          <w:pgMar w:left="320" w:top="1440" w:right="499" w:bottom="1440" w:gutter="0" w:footer="0" w:header="0"/>
          <w:type w:val="continuous"/>
        </w:sectPr>
      </w:pPr>
    </w:p>
    <w:p>
      <w:pPr>
        <w:jc w:val="center"/>
        <w:ind w:right="-419"/>
        <w:spacing w:after="0"/>
        <w:rPr>
          <w:sz w:val="20"/>
          <w:szCs w:val="20"/>
          <w:color w:val="auto"/>
        </w:rPr>
      </w:pPr>
      <w:r>
        <w:rPr>
          <w:rFonts w:ascii="Times New Roman" w:cs="Times New Roman" w:eastAsia="Times New Roman" w:hAnsi="Times New Roman"/>
          <w:sz w:val="16"/>
          <w:szCs w:val="16"/>
          <w:color w:val="auto"/>
        </w:rPr>
        <w:t>(310) 394-6000</w:t>
      </w:r>
    </w:p>
    <w:p>
      <w:pPr>
        <w:sectPr>
          <w:pgSz w:w="11900" w:h="16838" w:orient="portrait"/>
          <w:cols w:equalWidth="0" w:num="1">
            <w:col w:w="11080"/>
          </w:cols>
          <w:pgMar w:left="320" w:top="1440" w:right="499" w:bottom="1440" w:gutter="0" w:footer="0" w:header="0"/>
          <w:type w:val="continuous"/>
        </w:sectPr>
      </w:pPr>
    </w:p>
    <w:p>
      <w:pPr>
        <w:spacing w:after="0" w:line="2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7"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6"/>
          <w:szCs w:val="16"/>
          <w:color w:val="auto"/>
        </w:rPr>
        <w:t>N/A</w:t>
      </w:r>
    </w:p>
    <w:p>
      <w:pPr>
        <w:ind w:left="3060"/>
        <w:spacing w:after="0"/>
        <w:rPr>
          <w:sz w:val="20"/>
          <w:szCs w:val="20"/>
          <w:color w:val="auto"/>
        </w:rPr>
      </w:pPr>
      <w:r>
        <w:rPr>
          <w:rFonts w:ascii="Times New Roman" w:cs="Times New Roman" w:eastAsia="Times New Roman" w:hAnsi="Times New Roman"/>
          <w:sz w:val="15"/>
          <w:szCs w:val="15"/>
          <w:color w:val="auto"/>
        </w:rPr>
        <w:t>(Former name, former address and former fiscal year, if changed since last report)</w:t>
      </w:r>
    </w:p>
    <w:p>
      <w:pPr>
        <w:spacing w:after="0" w:line="22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7"/>
          <w:szCs w:val="17"/>
          <w:color w:val="auto"/>
        </w:rPr>
        <w:t>Securities registered pursuant to Section 12(b) of the Securities Act:</w:t>
      </w:r>
    </w:p>
    <w:p>
      <w:pPr>
        <w:sectPr>
          <w:pgSz w:w="11900" w:h="16838" w:orient="portrait"/>
          <w:cols w:equalWidth="0" w:num="1">
            <w:col w:w="11080"/>
          </w:cols>
          <w:pgMar w:left="320" w:top="1440" w:right="499" w:bottom="1440" w:gutter="0" w:footer="0" w:header="0"/>
          <w:type w:val="continuous"/>
        </w:sectPr>
      </w:pPr>
    </w:p>
    <w:p>
      <w:pPr>
        <w:spacing w:after="0" w:line="54"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32"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Trading symbol</w:t>
      </w:r>
    </w:p>
    <w:p>
      <w:pPr>
        <w:spacing w:after="0" w:line="32"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MAC</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2"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00" w:lineRule="exact"/>
        <w:rPr>
          <w:sz w:val="24"/>
          <w:szCs w:val="24"/>
          <w:color w:val="auto"/>
        </w:rPr>
      </w:pPr>
    </w:p>
    <w:p>
      <w:pPr>
        <w:sectPr>
          <w:pgSz w:w="11900" w:h="16838" w:orient="portrait"/>
          <w:cols w:equalWidth="0" w:num="3">
            <w:col w:w="4060" w:space="720"/>
            <w:col w:w="2040" w:space="720"/>
            <w:col w:w="3540"/>
          </w:cols>
          <w:pgMar w:left="320" w:top="1440" w:right="499" w:bottom="1440" w:gutter="0" w:footer="0" w:header="0"/>
          <w:type w:val="continuous"/>
        </w:sectPr>
      </w:pPr>
    </w:p>
    <w:p>
      <w:pPr>
        <w:spacing w:after="0" w:line="50" w:lineRule="exact"/>
        <w:rPr>
          <w:sz w:val="24"/>
          <w:szCs w:val="24"/>
          <w:color w:val="auto"/>
        </w:rPr>
      </w:pPr>
    </w:p>
    <w:p>
      <w:pPr>
        <w:ind w:right="160" w:firstLine="433"/>
        <w:spacing w:after="0" w:line="19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ind w:right="120" w:firstLine="433"/>
        <w:spacing w:after="0" w:line="22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spacing w:after="0" w:line="104" w:lineRule="exact"/>
        <w:rPr>
          <w:sz w:val="24"/>
          <w:szCs w:val="24"/>
          <w:color w:val="auto"/>
        </w:rPr>
      </w:pPr>
    </w:p>
    <w:p>
      <w:pPr>
        <w:ind w:firstLine="433"/>
        <w:spacing w:after="0" w:line="27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080"/>
          </w:cols>
          <w:pgMar w:left="320" w:top="1440" w:right="499" w:bottom="1440" w:gutter="0" w:footer="0" w:header="0"/>
          <w:type w:val="continuous"/>
        </w:sectPr>
      </w:pPr>
    </w:p>
    <w:p>
      <w:pPr>
        <w:spacing w:after="0" w:line="1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both"/>
        <w:ind w:hanging="19"/>
        <w:spacing w:after="0" w:line="338" w:lineRule="auto"/>
        <w:rPr>
          <w:sz w:val="20"/>
          <w:szCs w:val="20"/>
          <w:color w:val="auto"/>
        </w:rPr>
      </w:pPr>
      <w:r>
        <w:rPr>
          <w:rFonts w:ascii="Times New Roman" w:cs="Times New Roman" w:eastAsia="Times New Roman" w:hAnsi="Times New Roman"/>
          <w:sz w:val="15"/>
          <w:szCs w:val="15"/>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109"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290" w:lineRule="exact"/>
        <w:rPr>
          <w:sz w:val="24"/>
          <w:szCs w:val="24"/>
          <w:color w:val="auto"/>
        </w:rPr>
      </w:pPr>
    </w:p>
    <w:p>
      <w:pPr>
        <w:sectPr>
          <w:pgSz w:w="11900" w:h="16838" w:orient="portrait"/>
          <w:cols w:equalWidth="0" w:num="8">
            <w:col w:w="1900" w:space="440"/>
            <w:col w:w="180" w:space="500"/>
            <w:col w:w="1080" w:space="460"/>
            <w:col w:w="140" w:space="580"/>
            <w:col w:w="1420" w:space="560"/>
            <w:col w:w="600" w:space="720"/>
            <w:col w:w="1800" w:space="140"/>
            <w:col w:w="560"/>
          </w:cols>
          <w:pgMar w:left="320" w:top="1440" w:right="499" w:bottom="1440" w:gutter="0" w:footer="0" w:header="0"/>
          <w:type w:val="continuous"/>
        </w:sectPr>
      </w:pPr>
    </w:p>
    <w:p>
      <w:pPr>
        <w:ind w:right="300" w:firstLine="433"/>
        <w:spacing w:after="0" w:line="21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0" w:lineRule="exact"/>
        <w:rPr>
          <w:sz w:val="24"/>
          <w:szCs w:val="24"/>
          <w:color w:val="auto"/>
        </w:rPr>
      </w:pPr>
    </w:p>
    <w:p>
      <w:pPr>
        <w:ind w:left="440" w:right="2360"/>
        <w:spacing w:after="0" w:line="3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Number of shares outstanding as of May 5, 2026 of the registrant's common stock, par value $0.01 per share: 261,381,187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723265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19685</wp:posOffset>
            </wp:positionV>
            <wp:extent cx="713613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540" w:type="dxa"/>
            <w:vAlign w:val="bottom"/>
            <w:gridSpan w:val="8"/>
          </w:tcPr>
          <w:p>
            <w:pPr>
              <w:jc w:val="center"/>
              <w:ind w:right="2480"/>
              <w:spacing w:after="0"/>
              <w:rPr>
                <w:sz w:val="20"/>
                <w:szCs w:val="20"/>
                <w:color w:val="auto"/>
              </w:rPr>
            </w:pPr>
            <w:r>
              <w:rPr>
                <w:rFonts w:ascii="Times New Roman" w:cs="Times New Roman" w:eastAsia="Times New Roman" w:hAnsi="Times New Roman"/>
                <w:sz w:val="17"/>
                <w:szCs w:val="17"/>
                <w:b w:val="1"/>
                <w:bCs w:val="1"/>
                <w:color w:val="auto"/>
              </w:rPr>
              <w:t>THE MACERICH COMPANY</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54"/>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40" w:type="dxa"/>
            <w:vAlign w:val="bottom"/>
            <w:gridSpan w:val="8"/>
          </w:tcPr>
          <w:p>
            <w:pPr>
              <w:jc w:val="center"/>
              <w:ind w:right="2480"/>
              <w:spacing w:after="0"/>
              <w:rPr>
                <w:sz w:val="20"/>
                <w:szCs w:val="20"/>
                <w:color w:val="auto"/>
              </w:rPr>
            </w:pPr>
            <w:r>
              <w:rPr>
                <w:rFonts w:ascii="Times New Roman" w:cs="Times New Roman" w:eastAsia="Times New Roman" w:hAnsi="Times New Roman"/>
                <w:sz w:val="17"/>
                <w:szCs w:val="17"/>
                <w:b w:val="1"/>
                <w:bCs w:val="1"/>
                <w:color w:val="auto"/>
              </w:rPr>
              <w:t>FORM 10-Q</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1"/>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80" w:type="dxa"/>
            <w:vAlign w:val="bottom"/>
            <w:gridSpan w:val="7"/>
          </w:tcPr>
          <w:p>
            <w:pPr>
              <w:jc w:val="center"/>
              <w:ind w:right="3660"/>
              <w:spacing w:after="0"/>
              <w:rPr>
                <w:sz w:val="20"/>
                <w:szCs w:val="20"/>
                <w:color w:val="auto"/>
              </w:rPr>
            </w:pPr>
            <w:r>
              <w:rPr>
                <w:rFonts w:ascii="Times New Roman" w:cs="Times New Roman" w:eastAsia="Times New Roman" w:hAnsi="Times New Roman"/>
                <w:sz w:val="17"/>
                <w:szCs w:val="17"/>
                <w:b w:val="1"/>
                <w:bCs w:val="1"/>
                <w:color w:val="auto"/>
              </w:rPr>
              <w:t>INDEX</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9"/>
        </w:trPr>
        <w:tc>
          <w:tcPr>
            <w:tcW w:w="10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8600" w:type="dxa"/>
            <w:vAlign w:val="bottom"/>
            <w:gridSpan w:val="15"/>
          </w:tcPr>
          <w:p>
            <w:pPr>
              <w:spacing w:after="0"/>
              <w:rPr>
                <w:sz w:val="20"/>
                <w:szCs w:val="20"/>
                <w:color w:val="auto"/>
              </w:rPr>
            </w:pPr>
            <w:r>
              <w:rPr>
                <w:rFonts w:ascii="Times New Roman" w:cs="Times New Roman" w:eastAsia="Times New Roman" w:hAnsi="Times New Roman"/>
                <w:sz w:val="17"/>
                <w:szCs w:val="17"/>
                <w:b w:val="1"/>
                <w:bCs w:val="1"/>
                <w:color w:val="auto"/>
              </w:rPr>
              <w:t>Financial Information</w:t>
            </w: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1.</w:t>
            </w:r>
          </w:p>
        </w:tc>
        <w:tc>
          <w:tcPr>
            <w:tcW w:w="520" w:type="dxa"/>
            <w:vAlign w:val="bottom"/>
            <w:gridSpan w:val="3"/>
          </w:tcPr>
          <w:p>
            <w:pPr>
              <w:spacing w:after="0"/>
              <w:rPr>
                <w:sz w:val="20"/>
                <w:szCs w:val="20"/>
                <w:color w:val="auto"/>
              </w:rPr>
            </w:pPr>
          </w:p>
        </w:tc>
        <w:tc>
          <w:tcPr>
            <w:tcW w:w="86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5"/>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Consolidated Balance Sheets as of March 31, 2026 and December 31, 2025</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5"/>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three months ended March 31, 2026 and 2025</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5"/>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Loss for the three months ended March 31, 2026 and 2025</w:t>
            </w:r>
          </w:p>
        </w:tc>
        <w:tc>
          <w:tcPr>
            <w:tcW w:w="1400" w:type="dxa"/>
            <w:vAlign w:val="bottom"/>
          </w:tcPr>
          <w:p>
            <w:pPr>
              <w:spacing w:after="0"/>
              <w:rPr>
                <w:sz w:val="22"/>
                <w:szCs w:val="22"/>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5"/>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Consolidated Statements of Equity for the three months ended March 31, 2026 and 2025</w:t>
            </w:r>
          </w:p>
        </w:tc>
        <w:tc>
          <w:tcPr>
            <w:tcW w:w="1400" w:type="dxa"/>
            <w:vAlign w:val="bottom"/>
          </w:tcPr>
          <w:p>
            <w:pPr>
              <w:spacing w:after="0"/>
              <w:rPr>
                <w:sz w:val="22"/>
                <w:szCs w:val="22"/>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5"/>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three months ended March 31, 2026 and 2025</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5"/>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3480" w:type="dxa"/>
            <w:vAlign w:val="bottom"/>
            <w:gridSpan w:val="6"/>
          </w:tcPr>
          <w:p>
            <w:pPr>
              <w:spacing w:after="0"/>
              <w:rPr>
                <w:sz w:val="22"/>
                <w:szCs w:val="22"/>
                <w:color w:val="auto"/>
              </w:rPr>
            </w:pPr>
          </w:p>
        </w:tc>
        <w:tc>
          <w:tcPr>
            <w:tcW w:w="2060" w:type="dxa"/>
            <w:vAlign w:val="bottom"/>
            <w:gridSpan w:val="2"/>
          </w:tcPr>
          <w:p>
            <w:pPr>
              <w:spacing w:after="0"/>
              <w:rPr>
                <w:sz w:val="22"/>
                <w:szCs w:val="22"/>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9</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5"/>
        </w:trPr>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2.</w:t>
            </w:r>
          </w:p>
        </w:tc>
        <w:tc>
          <w:tcPr>
            <w:tcW w:w="400" w:type="dxa"/>
            <w:vAlign w:val="bottom"/>
            <w:gridSpan w:val="2"/>
          </w:tcPr>
          <w:p>
            <w:pPr>
              <w:spacing w:after="0"/>
              <w:rPr>
                <w:sz w:val="22"/>
                <w:szCs w:val="22"/>
                <w:color w:val="auto"/>
              </w:rPr>
            </w:pPr>
          </w:p>
        </w:tc>
        <w:tc>
          <w:tcPr>
            <w:tcW w:w="86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27</w:t>
            </w: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5"/>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3.</w:t>
            </w:r>
          </w:p>
        </w:tc>
        <w:tc>
          <w:tcPr>
            <w:tcW w:w="120" w:type="dxa"/>
            <w:vAlign w:val="bottom"/>
          </w:tcPr>
          <w:p>
            <w:pPr>
              <w:spacing w:after="0"/>
              <w:rPr>
                <w:sz w:val="22"/>
                <w:szCs w:val="22"/>
                <w:color w:val="auto"/>
              </w:rPr>
            </w:pPr>
          </w:p>
        </w:tc>
        <w:tc>
          <w:tcPr>
            <w:tcW w:w="400" w:type="dxa"/>
            <w:vAlign w:val="bottom"/>
            <w:gridSpan w:val="2"/>
          </w:tcPr>
          <w:p>
            <w:pPr>
              <w:spacing w:after="0"/>
              <w:rPr>
                <w:sz w:val="22"/>
                <w:szCs w:val="22"/>
                <w:color w:val="auto"/>
              </w:rPr>
            </w:pPr>
          </w:p>
        </w:tc>
        <w:tc>
          <w:tcPr>
            <w:tcW w:w="624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360" w:type="dxa"/>
            <w:vAlign w:val="bottom"/>
            <w:gridSpan w:val="4"/>
          </w:tcPr>
          <w:p>
            <w:pPr>
              <w:spacing w:after="0"/>
              <w:rPr>
                <w:sz w:val="22"/>
                <w:szCs w:val="22"/>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43</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5"/>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4.</w:t>
            </w:r>
          </w:p>
        </w:tc>
        <w:tc>
          <w:tcPr>
            <w:tcW w:w="520" w:type="dxa"/>
            <w:vAlign w:val="bottom"/>
            <w:gridSpan w:val="3"/>
          </w:tcPr>
          <w:p>
            <w:pPr>
              <w:spacing w:after="0"/>
              <w:rPr>
                <w:sz w:val="22"/>
                <w:szCs w:val="22"/>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2500" w:type="dxa"/>
            <w:vAlign w:val="bottom"/>
            <w:gridSpan w:val="4"/>
          </w:tcPr>
          <w:p>
            <w:pPr>
              <w:spacing w:after="0"/>
              <w:rPr>
                <w:sz w:val="22"/>
                <w:szCs w:val="22"/>
                <w:color w:val="auto"/>
              </w:rPr>
            </w:pPr>
          </w:p>
        </w:tc>
        <w:tc>
          <w:tcPr>
            <w:tcW w:w="4380" w:type="dxa"/>
            <w:vAlign w:val="bottom"/>
            <w:gridSpan w:val="7"/>
          </w:tcPr>
          <w:p>
            <w:pPr>
              <w:spacing w:after="0"/>
              <w:rPr>
                <w:sz w:val="22"/>
                <w:szCs w:val="22"/>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44</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4"/>
        </w:trPr>
        <w:tc>
          <w:tcPr>
            <w:tcW w:w="10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8600" w:type="dxa"/>
            <w:vAlign w:val="bottom"/>
            <w:gridSpan w:val="15"/>
          </w:tcPr>
          <w:p>
            <w:pPr>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1.</w:t>
            </w:r>
          </w:p>
        </w:tc>
        <w:tc>
          <w:tcPr>
            <w:tcW w:w="400" w:type="dxa"/>
            <w:vAlign w:val="bottom"/>
            <w:gridSpan w:val="2"/>
          </w:tcPr>
          <w:p>
            <w:pPr>
              <w:spacing w:after="0"/>
              <w:rPr>
                <w:sz w:val="20"/>
                <w:szCs w:val="20"/>
                <w:color w:val="auto"/>
              </w:rPr>
            </w:pPr>
          </w:p>
        </w:tc>
        <w:tc>
          <w:tcPr>
            <w:tcW w:w="86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44</w:t>
            </w: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r>
      <w:tr>
        <w:trPr>
          <w:trHeight w:val="255"/>
        </w:trPr>
        <w:tc>
          <w:tcPr>
            <w:tcW w:w="10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1A.</w:t>
            </w:r>
          </w:p>
        </w:tc>
        <w:tc>
          <w:tcPr>
            <w:tcW w:w="86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44</w:t>
            </w: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5"/>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2.</w:t>
            </w:r>
          </w:p>
        </w:tc>
        <w:tc>
          <w:tcPr>
            <w:tcW w:w="120" w:type="dxa"/>
            <w:vAlign w:val="bottom"/>
          </w:tcPr>
          <w:p>
            <w:pPr>
              <w:spacing w:after="0"/>
              <w:rPr>
                <w:sz w:val="22"/>
                <w:szCs w:val="22"/>
                <w:color w:val="auto"/>
              </w:rPr>
            </w:pPr>
          </w:p>
        </w:tc>
        <w:tc>
          <w:tcPr>
            <w:tcW w:w="400" w:type="dxa"/>
            <w:vAlign w:val="bottom"/>
            <w:gridSpan w:val="2"/>
          </w:tcPr>
          <w:p>
            <w:pPr>
              <w:spacing w:after="0"/>
              <w:rPr>
                <w:sz w:val="22"/>
                <w:szCs w:val="22"/>
                <w:color w:val="auto"/>
              </w:rPr>
            </w:pPr>
          </w:p>
        </w:tc>
        <w:tc>
          <w:tcPr>
            <w:tcW w:w="42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4380" w:type="dxa"/>
            <w:vAlign w:val="bottom"/>
            <w:gridSpan w:val="7"/>
          </w:tcPr>
          <w:p>
            <w:pPr>
              <w:spacing w:after="0"/>
              <w:rPr>
                <w:sz w:val="22"/>
                <w:szCs w:val="22"/>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5"/>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3.</w:t>
            </w:r>
          </w:p>
        </w:tc>
        <w:tc>
          <w:tcPr>
            <w:tcW w:w="520" w:type="dxa"/>
            <w:vAlign w:val="bottom"/>
            <w:gridSpan w:val="3"/>
          </w:tcPr>
          <w:p>
            <w:pPr>
              <w:spacing w:after="0"/>
              <w:rPr>
                <w:sz w:val="22"/>
                <w:szCs w:val="22"/>
                <w:color w:val="auto"/>
              </w:rPr>
            </w:pPr>
          </w:p>
        </w:tc>
        <w:tc>
          <w:tcPr>
            <w:tcW w:w="42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4380" w:type="dxa"/>
            <w:vAlign w:val="bottom"/>
            <w:gridSpan w:val="7"/>
          </w:tcPr>
          <w:p>
            <w:pPr>
              <w:spacing w:after="0"/>
              <w:rPr>
                <w:sz w:val="22"/>
                <w:szCs w:val="22"/>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5"/>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4.</w:t>
            </w:r>
          </w:p>
        </w:tc>
        <w:tc>
          <w:tcPr>
            <w:tcW w:w="520" w:type="dxa"/>
            <w:vAlign w:val="bottom"/>
            <w:gridSpan w:val="3"/>
          </w:tcPr>
          <w:p>
            <w:pPr>
              <w:spacing w:after="0"/>
              <w:rPr>
                <w:sz w:val="22"/>
                <w:szCs w:val="22"/>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520" w:type="dxa"/>
            <w:vAlign w:val="bottom"/>
          </w:tcPr>
          <w:p>
            <w:pPr>
              <w:spacing w:after="0"/>
              <w:rPr>
                <w:sz w:val="22"/>
                <w:szCs w:val="22"/>
                <w:color w:val="auto"/>
              </w:rPr>
            </w:pPr>
          </w:p>
        </w:tc>
        <w:tc>
          <w:tcPr>
            <w:tcW w:w="6360" w:type="dxa"/>
            <w:vAlign w:val="bottom"/>
            <w:gridSpan w:val="10"/>
          </w:tcPr>
          <w:p>
            <w:pPr>
              <w:spacing w:after="0"/>
              <w:rPr>
                <w:sz w:val="22"/>
                <w:szCs w:val="22"/>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5"/>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5.</w:t>
            </w:r>
          </w:p>
        </w:tc>
        <w:tc>
          <w:tcPr>
            <w:tcW w:w="520" w:type="dxa"/>
            <w:vAlign w:val="bottom"/>
            <w:gridSpan w:val="3"/>
          </w:tcPr>
          <w:p>
            <w:pPr>
              <w:spacing w:after="0"/>
              <w:rPr>
                <w:sz w:val="22"/>
                <w:szCs w:val="22"/>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880" w:type="dxa"/>
            <w:vAlign w:val="bottom"/>
            <w:gridSpan w:val="11"/>
          </w:tcPr>
          <w:p>
            <w:pPr>
              <w:spacing w:after="0"/>
              <w:rPr>
                <w:sz w:val="22"/>
                <w:szCs w:val="22"/>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20"/>
        </w:trPr>
        <w:tc>
          <w:tcPr>
            <w:tcW w:w="5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340" w:type="dxa"/>
            <w:vAlign w:val="bottom"/>
            <w:gridSpan w:val="1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5"/>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6.</w:t>
            </w:r>
          </w:p>
        </w:tc>
        <w:tc>
          <w:tcPr>
            <w:tcW w:w="520" w:type="dxa"/>
            <w:vAlign w:val="bottom"/>
            <w:gridSpan w:val="3"/>
          </w:tcPr>
          <w:p>
            <w:pPr>
              <w:spacing w:after="0"/>
              <w:rPr>
                <w:sz w:val="22"/>
                <w:szCs w:val="22"/>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680" w:type="dxa"/>
            <w:vAlign w:val="bottom"/>
            <w:gridSpan w:val="2"/>
          </w:tcPr>
          <w:p>
            <w:pPr>
              <w:spacing w:after="0"/>
              <w:rPr>
                <w:sz w:val="22"/>
                <w:szCs w:val="22"/>
                <w:color w:val="auto"/>
              </w:rPr>
            </w:pPr>
          </w:p>
        </w:tc>
        <w:tc>
          <w:tcPr>
            <w:tcW w:w="7340" w:type="dxa"/>
            <w:vAlign w:val="bottom"/>
            <w:gridSpan w:val="12"/>
          </w:tcPr>
          <w:p>
            <w:pPr>
              <w:spacing w:after="0"/>
              <w:rPr>
                <w:sz w:val="22"/>
                <w:szCs w:val="22"/>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46</w:t>
            </w:r>
          </w:p>
        </w:tc>
      </w:tr>
      <w:tr>
        <w:trPr>
          <w:trHeight w:val="20"/>
        </w:trPr>
        <w:tc>
          <w:tcPr>
            <w:tcW w:w="5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5"/>
        </w:trPr>
        <w:tc>
          <w:tcPr>
            <w:tcW w:w="10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0000FF"/>
              </w:rPr>
              <w:t>Signature</w:t>
            </w: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48</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74930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4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5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(Dollars in thousands, except par value)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net</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6,666,442</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6,688,128</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280,246</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92,717</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Tenant and other receivables,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145,721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108,918</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charges and other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319,033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343,431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from affiliates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699,632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707,075</w:t>
            </w:r>
          </w:p>
        </w:tc>
      </w:tr>
      <w:tr>
        <w:trPr>
          <w:trHeight w:val="216"/>
        </w:trPr>
        <w:tc>
          <w:tcPr>
            <w:tcW w:w="8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8,191,702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8,368,685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 AND EQUITY: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notes payable</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4,850,655</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5,068,946</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Bank and other notes payable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129,537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125,210</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66,979</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352,648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386,092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Distributions in excess of investments in unconsolidated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194,388</w:t>
            </w:r>
          </w:p>
        </w:tc>
      </w:tr>
      <w:tr>
        <w:trPr>
          <w:trHeight w:val="216"/>
        </w:trPr>
        <w:tc>
          <w:tcPr>
            <w:tcW w:w="8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5,679,836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5,841,615</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0"/>
        </w:trPr>
        <w:tc>
          <w:tcPr>
            <w:tcW w:w="8240" w:type="dxa"/>
            <w:vAlign w:val="bottom"/>
          </w:tcPr>
          <w:p>
            <w:pPr>
              <w:ind w:left="340"/>
              <w:spacing w:after="0" w:line="171" w:lineRule="exact"/>
              <w:rPr>
                <w:sz w:val="20"/>
                <w:szCs w:val="20"/>
                <w:color w:val="auto"/>
              </w:rPr>
            </w:pPr>
            <w:r>
              <w:rPr>
                <w:rFonts w:ascii="Times New Roman" w:cs="Times New Roman" w:eastAsia="Times New Roman" w:hAnsi="Times New Roman"/>
                <w:sz w:val="17"/>
                <w:szCs w:val="17"/>
                <w:color w:val="auto"/>
              </w:rPr>
              <w:t>Common stock, $0.01 par value, 500,000,000 shares authorized at March 31, 2026 and December 31, 2025, and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8240" w:type="dxa"/>
            <w:vAlign w:val="bottom"/>
          </w:tcPr>
          <w:p>
            <w:pPr>
              <w:ind w:left="340"/>
              <w:spacing w:after="0" w:line="171" w:lineRule="exact"/>
              <w:rPr>
                <w:sz w:val="20"/>
                <w:szCs w:val="20"/>
                <w:color w:val="auto"/>
              </w:rPr>
            </w:pPr>
            <w:r>
              <w:rPr>
                <w:rFonts w:ascii="Times New Roman" w:cs="Times New Roman" w:eastAsia="Times New Roman" w:hAnsi="Times New Roman"/>
                <w:sz w:val="17"/>
                <w:szCs w:val="17"/>
                <w:color w:val="auto"/>
              </w:rPr>
              <w:t>260,632,896 and 256,990,913 shares issued and outstanding at March 31, 2026 and December 31, 2025,</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6"/>
        </w:trPr>
        <w:tc>
          <w:tcPr>
            <w:tcW w:w="8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respectively</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2,569</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6,293,832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6,224,127</w:t>
            </w: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Accumulated deficit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(3,858,433)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(3,777,816)</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6"/>
        </w:trPr>
        <w:tc>
          <w:tcPr>
            <w:tcW w:w="8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2,437,998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2,448,871</w:t>
            </w: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78,199</w:t>
            </w:r>
          </w:p>
        </w:tc>
      </w:tr>
      <w:tr>
        <w:trPr>
          <w:trHeight w:val="216"/>
        </w:trPr>
        <w:tc>
          <w:tcPr>
            <w:tcW w:w="8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Total equity</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2,511,866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2,527,070</w:t>
            </w:r>
          </w:p>
        </w:tc>
      </w:tr>
      <w:tr>
        <w:trPr>
          <w:trHeight w:val="241"/>
        </w:trPr>
        <w:tc>
          <w:tcPr>
            <w:tcW w:w="8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8,191,702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8,368,685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4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5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82"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9" w:lineRule="exact"/>
        <w:rPr>
          <w:sz w:val="20"/>
          <w:szCs w:val="20"/>
          <w:color w:val="auto"/>
        </w:rPr>
      </w:pPr>
    </w:p>
    <w:tbl>
      <w:tblPr>
        <w:tblLayout w:type="fixed"/>
        <w:tblInd w:w="1680" w:type="dxa"/>
        <w:tblCellMar>
          <w:top w:w="0" w:type="dxa"/>
          <w:left w:w="0" w:type="dxa"/>
          <w:bottom w:w="0" w:type="dxa"/>
          <w:right w:w="0" w:type="dxa"/>
        </w:tblCellMar>
      </w:tblPr>
      <w:tr>
        <w:trPr>
          <w:trHeight w:val="204"/>
        </w:trPr>
        <w:tc>
          <w:tcPr>
            <w:tcW w:w="57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6"/>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225,976</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235,647</w:t>
            </w:r>
          </w:p>
        </w:tc>
        <w:tc>
          <w:tcPr>
            <w:tcW w:w="0" w:type="dxa"/>
            <w:vAlign w:val="bottom"/>
          </w:tcPr>
          <w:p>
            <w:pPr>
              <w:spacing w:after="0"/>
              <w:rPr>
                <w:sz w:val="1"/>
                <w:szCs w:val="1"/>
                <w:color w:val="auto"/>
              </w:rPr>
            </w:pPr>
          </w:p>
        </w:tc>
      </w:tr>
      <w:tr>
        <w:trPr>
          <w:trHeight w:val="204"/>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8,656</w:t>
            </w:r>
          </w:p>
        </w:tc>
        <w:tc>
          <w:tcPr>
            <w:tcW w:w="0" w:type="dxa"/>
            <w:vAlign w:val="bottom"/>
          </w:tcPr>
          <w:p>
            <w:pPr>
              <w:spacing w:after="0"/>
              <w:rPr>
                <w:sz w:val="1"/>
                <w:szCs w:val="1"/>
                <w:color w:val="auto"/>
              </w:rPr>
            </w:pPr>
          </w:p>
        </w:tc>
      </w:tr>
      <w:tr>
        <w:trPr>
          <w:trHeight w:val="190"/>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Management Companies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241,538</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249,224</w:t>
            </w:r>
          </w:p>
        </w:tc>
        <w:tc>
          <w:tcPr>
            <w:tcW w:w="0" w:type="dxa"/>
            <w:vAlign w:val="bottom"/>
          </w:tcPr>
          <w:p>
            <w:pPr>
              <w:spacing w:after="0"/>
              <w:rPr>
                <w:sz w:val="1"/>
                <w:szCs w:val="1"/>
                <w:color w:val="auto"/>
              </w:rPr>
            </w:pPr>
          </w:p>
        </w:tc>
      </w:tr>
      <w:tr>
        <w:trPr>
          <w:trHeight w:val="166"/>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85,163</w:t>
            </w:r>
          </w:p>
        </w:tc>
        <w:tc>
          <w:tcPr>
            <w:tcW w:w="0" w:type="dxa"/>
            <w:vAlign w:val="bottom"/>
          </w:tcPr>
          <w:p>
            <w:pPr>
              <w:spacing w:after="0"/>
              <w:rPr>
                <w:sz w:val="1"/>
                <w:szCs w:val="1"/>
                <w:color w:val="auto"/>
              </w:rPr>
            </w:pPr>
          </w:p>
        </w:tc>
      </w:tr>
      <w:tr>
        <w:trPr>
          <w:trHeight w:val="190"/>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expenses</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11,219</w:t>
            </w:r>
          </w:p>
        </w:tc>
        <w:tc>
          <w:tcPr>
            <w:tcW w:w="0" w:type="dxa"/>
            <w:vAlign w:val="bottom"/>
          </w:tcPr>
          <w:p>
            <w:pPr>
              <w:spacing w:after="0"/>
              <w:rPr>
                <w:sz w:val="1"/>
                <w:szCs w:val="1"/>
                <w:color w:val="auto"/>
              </w:rPr>
            </w:pPr>
          </w:p>
        </w:tc>
      </w:tr>
      <w:tr>
        <w:trPr>
          <w:trHeight w:val="204"/>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Management Companies' operating expenses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22,385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20,783</w:t>
            </w:r>
          </w:p>
        </w:tc>
        <w:tc>
          <w:tcPr>
            <w:tcW w:w="0" w:type="dxa"/>
            <w:vAlign w:val="bottom"/>
          </w:tcPr>
          <w:p>
            <w:pPr>
              <w:spacing w:after="0"/>
              <w:rPr>
                <w:sz w:val="1"/>
                <w:szCs w:val="1"/>
                <w:color w:val="auto"/>
              </w:rPr>
            </w:pPr>
          </w:p>
        </w:tc>
      </w:tr>
      <w:tr>
        <w:trPr>
          <w:trHeight w:val="190"/>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REIT general and administrative expenses</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7,612</w:t>
            </w:r>
          </w:p>
        </w:tc>
        <w:tc>
          <w:tcPr>
            <w:tcW w:w="0" w:type="dxa"/>
            <w:vAlign w:val="bottom"/>
          </w:tcPr>
          <w:p>
            <w:pPr>
              <w:spacing w:after="0"/>
              <w:rPr>
                <w:sz w:val="1"/>
                <w:szCs w:val="1"/>
                <w:color w:val="auto"/>
              </w:rPr>
            </w:pPr>
          </w:p>
        </w:tc>
      </w:tr>
      <w:tr>
        <w:trPr>
          <w:trHeight w:val="204"/>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83,076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92,562</w:t>
            </w:r>
          </w:p>
        </w:tc>
        <w:tc>
          <w:tcPr>
            <w:tcW w:w="0" w:type="dxa"/>
            <w:vAlign w:val="bottom"/>
          </w:tcPr>
          <w:p>
            <w:pPr>
              <w:spacing w:after="0"/>
              <w:rPr>
                <w:sz w:val="1"/>
                <w:szCs w:val="1"/>
                <w:color w:val="auto"/>
              </w:rPr>
            </w:pPr>
          </w:p>
        </w:tc>
      </w:tr>
      <w:tr>
        <w:trPr>
          <w:trHeight w:val="190"/>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67,500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69,074</w:t>
            </w: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expenses</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278,047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286,413</w:t>
            </w:r>
          </w:p>
        </w:tc>
        <w:tc>
          <w:tcPr>
            <w:tcW w:w="0" w:type="dxa"/>
            <w:vAlign w:val="bottom"/>
          </w:tcPr>
          <w:p>
            <w:pPr>
              <w:spacing w:after="0"/>
              <w:rPr>
                <w:sz w:val="1"/>
                <w:szCs w:val="1"/>
                <w:color w:val="auto"/>
              </w:rPr>
            </w:pPr>
          </w:p>
        </w:tc>
      </w:tr>
      <w:tr>
        <w:trPr>
          <w:trHeight w:val="18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loss of unconsolidated joint ventures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204"/>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0" w:type="dxa"/>
            <w:vAlign w:val="bottom"/>
          </w:tcPr>
          <w:p>
            <w:pPr>
              <w:spacing w:after="0"/>
              <w:rPr>
                <w:sz w:val="1"/>
                <w:szCs w:val="1"/>
                <w:color w:val="auto"/>
              </w:rPr>
            </w:pPr>
          </w:p>
        </w:tc>
      </w:tr>
      <w:tr>
        <w:trPr>
          <w:trHeight w:val="19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Gain (loss) on sale or write down of assets, net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(13,987)</w:t>
            </w: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(51,153)</w:t>
            </w:r>
          </w:p>
        </w:tc>
        <w:tc>
          <w:tcPr>
            <w:tcW w:w="0" w:type="dxa"/>
            <w:vAlign w:val="bottom"/>
          </w:tcPr>
          <w:p>
            <w:pPr>
              <w:spacing w:after="0"/>
              <w:rPr>
                <w:sz w:val="1"/>
                <w:szCs w:val="1"/>
                <w:color w:val="auto"/>
              </w:rPr>
            </w:pPr>
          </w:p>
        </w:tc>
      </w:tr>
      <w:tr>
        <w:trPr>
          <w:trHeight w:val="19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0" w:type="dxa"/>
            <w:vAlign w:val="bottom"/>
          </w:tcPr>
          <w:p>
            <w:pPr>
              <w:spacing w:after="0"/>
              <w:rPr>
                <w:sz w:val="1"/>
                <w:szCs w:val="1"/>
                <w:color w:val="auto"/>
              </w:rPr>
            </w:pPr>
          </w:p>
        </w:tc>
      </w:tr>
      <w:tr>
        <w:trPr>
          <w:trHeight w:val="222"/>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the Company</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(50,123)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per common share—attributable to common stockholders: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258,028,000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252,992,000</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258,028,000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252,992,000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w:t>
      </w:r>
    </w:p>
    <w:p>
      <w:pPr>
        <w:spacing w:after="0" w:line="14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(Dollars in thousands)</w:t>
      </w:r>
    </w:p>
    <w:p>
      <w:pPr>
        <w:spacing w:after="0" w:line="15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82"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9" w:lineRule="exact"/>
        <w:rPr>
          <w:sz w:val="20"/>
          <w:szCs w:val="20"/>
          <w:color w:val="auto"/>
        </w:rPr>
      </w:pPr>
    </w:p>
    <w:tbl>
      <w:tblPr>
        <w:tblLayout w:type="fixed"/>
        <w:tblInd w:w="1680" w:type="dxa"/>
        <w:tblCellMar>
          <w:top w:w="0" w:type="dxa"/>
          <w:left w:w="0" w:type="dxa"/>
          <w:bottom w:w="0" w:type="dxa"/>
          <w:right w:w="0" w:type="dxa"/>
        </w:tblCellMar>
      </w:tblPr>
      <w:tr>
        <w:trPr>
          <w:trHeight w:val="204"/>
        </w:trPr>
        <w:tc>
          <w:tcPr>
            <w:tcW w:w="57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(51,153)</w:t>
            </w:r>
          </w:p>
        </w:tc>
      </w:tr>
      <w:tr>
        <w:trPr>
          <w:trHeight w:val="19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4"/>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 agreements</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(36,892)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(51,133)</w:t>
            </w:r>
          </w:p>
        </w:tc>
      </w:tr>
      <w:tr>
        <w:trPr>
          <w:trHeight w:val="19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r>
      <w:tr>
        <w:trPr>
          <w:trHeight w:val="197"/>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the Company</w:t>
            </w: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(36,348)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(50,103)</w:t>
            </w:r>
          </w:p>
        </w:tc>
      </w:tr>
      <w:tr>
        <w:trPr>
          <w:trHeight w:val="20"/>
        </w:trPr>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CONSOLIDATED STATEMENTS OF EQUITY</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(Dollars in thousands, except share data)</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Three Months Ended March 31, 2026 and 2025</w:t>
      </w:r>
    </w:p>
    <w:p>
      <w:pPr>
        <w:spacing w:after="0" w:line="5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92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19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300"/>
              <w:spacing w:after="0" w:line="121"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9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Par</w:t>
            </w: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4"/>
                <w:szCs w:val="4"/>
                <w:color w:val="auto"/>
              </w:rPr>
            </w:pPr>
          </w:p>
        </w:tc>
        <w:tc>
          <w:tcPr>
            <w:tcW w:w="740" w:type="dxa"/>
            <w:vAlign w:val="bottom"/>
            <w:vMerge w:val="restart"/>
          </w:tcPr>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2"/>
        </w:trPr>
        <w:tc>
          <w:tcPr>
            <w:tcW w:w="192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80" w:type="dxa"/>
            <w:vAlign w:val="bottom"/>
          </w:tcPr>
          <w:p>
            <w:pPr>
              <w:spacing w:after="0"/>
              <w:rPr>
                <w:sz w:val="14"/>
                <w:szCs w:val="14"/>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8"/>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January 1, 2026</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256,990,913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6,224,127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(3,777,816)</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2,448,871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78,199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2,527,070</w:t>
            </w:r>
          </w:p>
        </w:tc>
        <w:tc>
          <w:tcPr>
            <w:tcW w:w="0" w:type="dxa"/>
            <w:vAlign w:val="bottom"/>
          </w:tcPr>
          <w:p>
            <w:pPr>
              <w:spacing w:after="0"/>
              <w:rPr>
                <w:sz w:val="1"/>
                <w:szCs w:val="1"/>
                <w:color w:val="auto"/>
              </w:rPr>
            </w:pPr>
          </w:p>
        </w:tc>
      </w:tr>
      <w:tr>
        <w:trPr>
          <w:trHeight w:val="165"/>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(36,894)</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26"/>
        </w:trPr>
        <w:tc>
          <w:tcPr>
            <w:tcW w:w="192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103,482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6,076</w:t>
            </w:r>
          </w:p>
        </w:tc>
        <w:tc>
          <w:tcPr>
            <w:tcW w:w="0" w:type="dxa"/>
            <w:vAlign w:val="bottom"/>
          </w:tcPr>
          <w:p>
            <w:pPr>
              <w:spacing w:after="0"/>
              <w:rPr>
                <w:sz w:val="1"/>
                <w:szCs w:val="1"/>
                <w:color w:val="auto"/>
              </w:rPr>
            </w:pPr>
          </w:p>
        </w:tc>
      </w:tr>
      <w:tr>
        <w:trPr>
          <w:trHeight w:val="17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3,252,163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65,476</w:t>
            </w:r>
          </w:p>
        </w:tc>
        <w:tc>
          <w:tcPr>
            <w:tcW w:w="0" w:type="dxa"/>
            <w:vAlign w:val="bottom"/>
          </w:tcPr>
          <w:p>
            <w:pPr>
              <w:spacing w:after="0"/>
              <w:rPr>
                <w:sz w:val="1"/>
                <w:szCs w:val="1"/>
                <w:color w:val="auto"/>
              </w:rPr>
            </w:pPr>
          </w:p>
        </w:tc>
      </w:tr>
      <w:tr>
        <w:trPr>
          <w:trHeight w:val="165"/>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Distributions paid ($0.17 per share)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(44,267)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(44,267)</w:t>
            </w:r>
          </w:p>
        </w:tc>
        <w:tc>
          <w:tcPr>
            <w:tcW w:w="0" w:type="dxa"/>
            <w:vAlign w:val="bottom"/>
          </w:tcPr>
          <w:p>
            <w:pPr>
              <w:spacing w:after="0"/>
              <w:rPr>
                <w:sz w:val="1"/>
                <w:szCs w:val="1"/>
                <w:color w:val="auto"/>
              </w:rPr>
            </w:pPr>
          </w:p>
        </w:tc>
      </w:tr>
      <w:tr>
        <w:trPr>
          <w:trHeight w:val="132"/>
        </w:trPr>
        <w:tc>
          <w:tcPr>
            <w:tcW w:w="192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(4,767)</w:t>
            </w:r>
          </w:p>
        </w:tc>
        <w:tc>
          <w:tcPr>
            <w:tcW w:w="0" w:type="dxa"/>
            <w:vAlign w:val="bottom"/>
          </w:tcPr>
          <w:p>
            <w:pPr>
              <w:spacing w:after="0"/>
              <w:rPr>
                <w:sz w:val="1"/>
                <w:szCs w:val="1"/>
                <w:color w:val="auto"/>
              </w:rPr>
            </w:pPr>
          </w:p>
        </w:tc>
      </w:tr>
      <w:tr>
        <w:trPr>
          <w:trHeight w:val="126"/>
        </w:trPr>
        <w:tc>
          <w:tcPr>
            <w:tcW w:w="192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Conversion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 to common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286,338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4"/>
        </w:trPr>
        <w:tc>
          <w:tcPr>
            <w:tcW w:w="192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Redemption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0" w:type="dxa"/>
            <w:vAlign w:val="bottom"/>
          </w:tcPr>
          <w:p>
            <w:pPr>
              <w:spacing w:after="0"/>
              <w:rPr>
                <w:sz w:val="1"/>
                <w:szCs w:val="1"/>
                <w:color w:val="auto"/>
              </w:rPr>
            </w:pPr>
          </w:p>
        </w:tc>
      </w:tr>
      <w:tr>
        <w:trPr>
          <w:trHeight w:val="126"/>
        </w:trPr>
        <w:tc>
          <w:tcPr>
            <w:tcW w:w="192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5"/>
        </w:trPr>
        <w:tc>
          <w:tcPr>
            <w:tcW w:w="1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March 31, 2026</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260,632,896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6,293,832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(3,858,433)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2,437,998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73,868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2,511,866</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9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19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tcPr>
          <w:p>
            <w:pPr>
              <w:jc w:val="center"/>
              <w:ind w:right="260"/>
              <w:spacing w:after="0" w:line="53" w:lineRule="exact"/>
              <w:rPr>
                <w:sz w:val="20"/>
                <w:szCs w:val="20"/>
                <w:color w:val="auto"/>
              </w:rPr>
            </w:pPr>
            <w:r>
              <w:rPr>
                <w:rFonts w:ascii="Times New Roman" w:cs="Times New Roman" w:eastAsia="Times New Roman" w:hAnsi="Times New Roman"/>
                <w:sz w:val="6"/>
                <w:szCs w:val="6"/>
                <w:b w:val="1"/>
                <w:bCs w:val="1"/>
                <w:color w:val="auto"/>
              </w:rPr>
              <w:t>Additional</w:t>
            </w: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tcPr>
          <w:p>
            <w:pPr>
              <w:jc w:val="center"/>
              <w:ind w:right="300"/>
              <w:spacing w:after="0" w:line="53" w:lineRule="exact"/>
              <w:rPr>
                <w:sz w:val="20"/>
                <w:szCs w:val="20"/>
                <w:color w:val="auto"/>
              </w:rPr>
            </w:pPr>
            <w:r>
              <w:rPr>
                <w:rFonts w:ascii="Times New Roman" w:cs="Times New Roman" w:eastAsia="Times New Roman" w:hAnsi="Times New Roman"/>
                <w:sz w:val="6"/>
                <w:szCs w:val="6"/>
                <w:b w:val="1"/>
                <w:bCs w:val="1"/>
                <w:color w:val="auto"/>
              </w:rPr>
              <w:t>Other</w:t>
            </w:r>
          </w:p>
        </w:tc>
        <w:tc>
          <w:tcPr>
            <w:tcW w:w="140" w:type="dxa"/>
            <w:vAlign w:val="bottom"/>
          </w:tcPr>
          <w:p>
            <w:pPr>
              <w:spacing w:after="0"/>
              <w:rPr>
                <w:sz w:val="4"/>
                <w:szCs w:val="4"/>
                <w:color w:val="auto"/>
              </w:rPr>
            </w:pPr>
          </w:p>
        </w:tc>
        <w:tc>
          <w:tcPr>
            <w:tcW w:w="1120" w:type="dxa"/>
            <w:vAlign w:val="bottom"/>
            <w:gridSpan w:val="2"/>
          </w:tcPr>
          <w:p>
            <w:pPr>
              <w:jc w:val="center"/>
              <w:ind w:right="280"/>
              <w:spacing w:after="0" w:line="53" w:lineRule="exact"/>
              <w:rPr>
                <w:sz w:val="20"/>
                <w:szCs w:val="20"/>
                <w:color w:val="auto"/>
              </w:rPr>
            </w:pPr>
            <w:r>
              <w:rPr>
                <w:rFonts w:ascii="Times New Roman" w:cs="Times New Roman" w:eastAsia="Times New Roman" w:hAnsi="Times New Roman"/>
                <w:sz w:val="6"/>
                <w:szCs w:val="6"/>
                <w:b w:val="1"/>
                <w:bCs w:val="1"/>
                <w:color w:val="auto"/>
              </w:rPr>
              <w:t>Total</w:t>
            </w: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1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Par</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1"/>
                <w:szCs w:val="1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40" w:type="dxa"/>
            <w:vAlign w:val="bottom"/>
          </w:tcPr>
          <w:p>
            <w:pPr>
              <w:spacing w:after="0"/>
              <w:rPr>
                <w:sz w:val="11"/>
                <w:szCs w:val="1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11"/>
                <w:szCs w:val="11"/>
                <w:color w:val="auto"/>
              </w:rPr>
            </w:pPr>
          </w:p>
        </w:tc>
        <w:tc>
          <w:tcPr>
            <w:tcW w:w="740" w:type="dxa"/>
            <w:vAlign w:val="bottom"/>
          </w:tcPr>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7"/>
        </w:trPr>
        <w:tc>
          <w:tcPr>
            <w:tcW w:w="192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5"/>
                <w:szCs w:val="15"/>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80" w:type="dxa"/>
            <w:vAlign w:val="bottom"/>
          </w:tcPr>
          <w:p>
            <w:pPr>
              <w:spacing w:after="0"/>
              <w:rPr>
                <w:sz w:val="15"/>
                <w:szCs w:val="15"/>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70"/>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January 1,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252,925,496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6,160,780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(3,406,786)</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2,756,487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85,938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2,842,425</w:t>
            </w:r>
          </w:p>
        </w:tc>
        <w:tc>
          <w:tcPr>
            <w:tcW w:w="0" w:type="dxa"/>
            <w:vAlign w:val="bottom"/>
          </w:tcPr>
          <w:p>
            <w:pPr>
              <w:spacing w:after="0"/>
              <w:rPr>
                <w:sz w:val="1"/>
                <w:szCs w:val="1"/>
                <w:color w:val="auto"/>
              </w:rPr>
            </w:pPr>
          </w:p>
        </w:tc>
      </w:tr>
      <w:tr>
        <w:trPr>
          <w:trHeight w:val="165"/>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(51,153)</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18"/>
        </w:trPr>
        <w:tc>
          <w:tcPr>
            <w:tcW w:w="192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98,829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3,482</w:t>
            </w:r>
          </w:p>
        </w:tc>
        <w:tc>
          <w:tcPr>
            <w:tcW w:w="0" w:type="dxa"/>
            <w:vAlign w:val="bottom"/>
          </w:tcPr>
          <w:p>
            <w:pPr>
              <w:spacing w:after="0"/>
              <w:rPr>
                <w:sz w:val="1"/>
                <w:szCs w:val="1"/>
                <w:color w:val="auto"/>
              </w:rPr>
            </w:pPr>
          </w:p>
        </w:tc>
      </w:tr>
      <w:tr>
        <w:trPr>
          <w:trHeight w:val="17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0" w:type="dxa"/>
            <w:vAlign w:val="bottom"/>
          </w:tcPr>
          <w:p>
            <w:pPr>
              <w:spacing w:after="0"/>
              <w:rPr>
                <w:sz w:val="1"/>
                <w:szCs w:val="1"/>
                <w:color w:val="auto"/>
              </w:rPr>
            </w:pPr>
          </w:p>
        </w:tc>
      </w:tr>
      <w:tr>
        <w:trPr>
          <w:trHeight w:val="165"/>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Distributions paid ($0.17 per share)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(43,929)</w:t>
            </w:r>
          </w:p>
        </w:tc>
        <w:tc>
          <w:tcPr>
            <w:tcW w:w="0" w:type="dxa"/>
            <w:vAlign w:val="bottom"/>
          </w:tcPr>
          <w:p>
            <w:pPr>
              <w:spacing w:after="0"/>
              <w:rPr>
                <w:sz w:val="1"/>
                <w:szCs w:val="1"/>
                <w:color w:val="auto"/>
              </w:rPr>
            </w:pPr>
          </w:p>
        </w:tc>
      </w:tr>
      <w:tr>
        <w:trPr>
          <w:trHeight w:val="124"/>
        </w:trPr>
        <w:tc>
          <w:tcPr>
            <w:tcW w:w="192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(6,504)</w:t>
            </w:r>
          </w:p>
        </w:tc>
        <w:tc>
          <w:tcPr>
            <w:tcW w:w="0" w:type="dxa"/>
            <w:vAlign w:val="bottom"/>
          </w:tcPr>
          <w:p>
            <w:pPr>
              <w:spacing w:after="0"/>
              <w:rPr>
                <w:sz w:val="1"/>
                <w:szCs w:val="1"/>
                <w:color w:val="auto"/>
              </w:rPr>
            </w:pPr>
          </w:p>
        </w:tc>
      </w:tr>
      <w:tr>
        <w:trPr>
          <w:trHeight w:val="118"/>
        </w:trPr>
        <w:tc>
          <w:tcPr>
            <w:tcW w:w="192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Conversion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 to common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0"/>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March 31, 2025</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253,030,425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2,528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6,161,896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(3,500,838)</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2,663,572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80,351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2,743,923</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8420" w:type="dxa"/>
            <w:vAlign w:val="bottom"/>
          </w:tcPr>
          <w:p>
            <w:pPr>
              <w:jc w:val="center"/>
              <w:ind w:left="243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97"/>
        </w:trPr>
        <w:tc>
          <w:tcPr>
            <w:tcW w:w="16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r>
      <w:tr>
        <w:trPr>
          <w:trHeight w:val="233"/>
        </w:trPr>
        <w:tc>
          <w:tcPr>
            <w:tcW w:w="16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61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9"/>
        </w:trPr>
        <w:tc>
          <w:tcPr>
            <w:tcW w:w="160" w:type="dxa"/>
            <w:vAlign w:val="bottom"/>
          </w:tcPr>
          <w:p>
            <w:pPr>
              <w:spacing w:after="0"/>
              <w:rPr>
                <w:sz w:val="19"/>
                <w:szCs w:val="19"/>
                <w:color w:val="auto"/>
              </w:rPr>
            </w:pPr>
          </w:p>
        </w:tc>
        <w:tc>
          <w:tcPr>
            <w:tcW w:w="84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19"/>
                <w:szCs w:val="19"/>
                <w:color w:val="auto"/>
              </w:rPr>
            </w:pPr>
          </w:p>
        </w:tc>
      </w:tr>
      <w:tr>
        <w:trPr>
          <w:trHeight w:val="216"/>
        </w:trPr>
        <w:tc>
          <w:tcPr>
            <w:tcW w:w="160" w:type="dxa"/>
            <w:vAlign w:val="bottom"/>
          </w:tcPr>
          <w:p>
            <w:pPr>
              <w:spacing w:after="0"/>
              <w:rPr>
                <w:sz w:val="18"/>
                <w:szCs w:val="18"/>
                <w:color w:val="auto"/>
              </w:rPr>
            </w:pP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160" w:type="dxa"/>
            <w:vAlign w:val="bottom"/>
          </w:tcPr>
          <w:p>
            <w:pPr>
              <w:spacing w:after="0"/>
              <w:rPr>
                <w:sz w:val="19"/>
                <w:szCs w:val="19"/>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(36,894)</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(51,153)</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operating activities: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(Gain) loss on sale or write down of assets, net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13,987</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95,219</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Amortization of discount on mortgage notes payable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9,121</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of share and unit-based plans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3,206</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Straight-line rent and amortization of above and below market leases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Provision for doubtful accounts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Income tax benefit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Equity in loss of unconsolidated joint ventures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Changes in assets and liabilities, net of dispositions: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Tenant and other receivables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24,984</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12,975</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Due from affiliates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9,487</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(30,245)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(29,271)</w:t>
            </w:r>
          </w:p>
        </w:tc>
        <w:tc>
          <w:tcPr>
            <w:tcW w:w="140" w:type="dxa"/>
            <w:vAlign w:val="bottom"/>
          </w:tcPr>
          <w:p>
            <w:pPr>
              <w:spacing w:after="0"/>
              <w:rPr>
                <w:sz w:val="19"/>
                <w:szCs w:val="19"/>
                <w:color w:val="auto"/>
              </w:rPr>
            </w:pPr>
          </w:p>
        </w:tc>
      </w:tr>
      <w:tr>
        <w:trPr>
          <w:trHeight w:val="216"/>
        </w:trPr>
        <w:tc>
          <w:tcPr>
            <w:tcW w:w="160" w:type="dxa"/>
            <w:vAlign w:val="bottom"/>
          </w:tcPr>
          <w:p>
            <w:pPr>
              <w:spacing w:after="0"/>
              <w:rPr>
                <w:sz w:val="18"/>
                <w:szCs w:val="18"/>
                <w:color w:val="auto"/>
              </w:rPr>
            </w:pPr>
          </w:p>
        </w:tc>
        <w:tc>
          <w:tcPr>
            <w:tcW w:w="8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77,377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88,491</w:t>
            </w: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160" w:type="dxa"/>
            <w:vAlign w:val="bottom"/>
          </w:tcPr>
          <w:p>
            <w:pPr>
              <w:spacing w:after="0"/>
              <w:rPr>
                <w:sz w:val="19"/>
                <w:szCs w:val="19"/>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Development, redevelopment, expansion and renovation of properties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(34,356)</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Property improvements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(6,840)</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Deposit on acquisition of property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leasing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(1,562)</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Distributions from unconsolidated joint ventures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30,716</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Contributions to unconsolidated joint ventures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(96,695)</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25,696</w:t>
            </w:r>
          </w:p>
        </w:tc>
        <w:tc>
          <w:tcPr>
            <w:tcW w:w="140" w:type="dxa"/>
            <w:vAlign w:val="bottom"/>
          </w:tcPr>
          <w:p>
            <w:pPr>
              <w:spacing w:after="0"/>
              <w:rPr>
                <w:sz w:val="19"/>
                <w:szCs w:val="19"/>
                <w:color w:val="auto"/>
              </w:rPr>
            </w:pPr>
          </w:p>
        </w:tc>
      </w:tr>
      <w:tr>
        <w:trPr>
          <w:trHeight w:val="216"/>
        </w:trPr>
        <w:tc>
          <w:tcPr>
            <w:tcW w:w="160" w:type="dxa"/>
            <w:vAlign w:val="bottom"/>
          </w:tcPr>
          <w:p>
            <w:pPr>
              <w:spacing w:after="0"/>
              <w:rPr>
                <w:sz w:val="18"/>
                <w:szCs w:val="18"/>
                <w:color w:val="auto"/>
              </w:rPr>
            </w:pPr>
          </w:p>
        </w:tc>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(83,041)</w:t>
            </w:r>
          </w:p>
        </w:tc>
        <w:tc>
          <w:tcPr>
            <w:tcW w:w="140" w:type="dxa"/>
            <w:vAlign w:val="bottom"/>
          </w:tcPr>
          <w:p>
            <w:pPr>
              <w:spacing w:after="0"/>
              <w:rPr>
                <w:sz w:val="18"/>
                <w:szCs w:val="18"/>
                <w:color w:val="auto"/>
              </w:rPr>
            </w:pPr>
          </w:p>
        </w:tc>
      </w:tr>
      <w:tr>
        <w:trPr>
          <w:trHeight w:val="839"/>
        </w:trPr>
        <w:tc>
          <w:tcPr>
            <w:tcW w:w="8580" w:type="dxa"/>
            <w:vAlign w:val="bottom"/>
            <w:gridSpan w:val="2"/>
          </w:tcPr>
          <w:p>
            <w:pPr>
              <w:jc w:val="right"/>
              <w:ind w:right="2833"/>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2"/>
        </w:trPr>
        <w:tc>
          <w:tcPr>
            <w:tcW w:w="160" w:type="dxa"/>
            <w:vAlign w:val="bottom"/>
            <w:tcBorders>
              <w:bottom w:val="single" w:sz="8" w:color="9A9A9A"/>
            </w:tcBorders>
          </w:tcPr>
          <w:p>
            <w:pPr>
              <w:spacing w:after="0"/>
              <w:rPr>
                <w:sz w:val="9"/>
                <w:szCs w:val="9"/>
                <w:color w:val="auto"/>
              </w:rPr>
            </w:pPr>
          </w:p>
        </w:tc>
        <w:tc>
          <w:tcPr>
            <w:tcW w:w="8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(Continued)</w:t>
      </w:r>
    </w:p>
    <w:p>
      <w:pPr>
        <w:spacing w:after="0" w:line="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(Dollars in thousands)</w:t>
      </w:r>
    </w:p>
    <w:p>
      <w:pPr>
        <w:spacing w:after="0" w:line="93"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8420" w:type="dxa"/>
            <w:vAlign w:val="bottom"/>
          </w:tcPr>
          <w:p>
            <w:pPr>
              <w:ind w:left="502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84"/>
        </w:trPr>
        <w:tc>
          <w:tcPr>
            <w:tcW w:w="8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right"/>
              <w:ind w:right="93"/>
              <w:spacing w:after="0" w:line="184" w:lineRule="exact"/>
              <w:rPr>
                <w:sz w:val="20"/>
                <w:szCs w:val="20"/>
                <w:color w:val="auto"/>
              </w:rPr>
            </w:pPr>
            <w:r>
              <w:rPr>
                <w:rFonts w:ascii="Times New Roman" w:cs="Times New Roman" w:eastAsia="Times New Roman" w:hAnsi="Times New Roman"/>
                <w:sz w:val="17"/>
                <w:szCs w:val="17"/>
                <w:b w:val="1"/>
                <w:bCs w:val="1"/>
                <w:color w:val="auto"/>
              </w:rPr>
              <w:t>For the Three Months Ended</w:t>
            </w:r>
          </w:p>
        </w:tc>
      </w:tr>
      <w:tr>
        <w:trPr>
          <w:trHeight w:val="233"/>
        </w:trPr>
        <w:tc>
          <w:tcPr>
            <w:tcW w:w="8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40" w:type="dxa"/>
            <w:vAlign w:val="bottom"/>
            <w:tcBorders>
              <w:bottom w:val="single" w:sz="8" w:color="auto"/>
            </w:tcBorders>
          </w:tcPr>
          <w:p>
            <w:pPr>
              <w:spacing w:after="0"/>
              <w:rPr>
                <w:sz w:val="20"/>
                <w:szCs w:val="20"/>
                <w:color w:val="auto"/>
              </w:rPr>
            </w:pPr>
          </w:p>
        </w:tc>
      </w:tr>
      <w:tr>
        <w:trPr>
          <w:trHeight w:val="219"/>
        </w:trPr>
        <w:tc>
          <w:tcPr>
            <w:tcW w:w="84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3"/>
        </w:trPr>
        <w:tc>
          <w:tcPr>
            <w:tcW w:w="8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mortgages, bank and other notes payable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340,000</w:t>
            </w:r>
          </w:p>
        </w:tc>
      </w:tr>
      <w:tr>
        <w:trPr>
          <w:trHeight w:val="223"/>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on mortgages, bank and other notes payable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(122,007)</w:t>
            </w:r>
          </w:p>
        </w:tc>
      </w:tr>
      <w:tr>
        <w:trPr>
          <w:trHeight w:val="223"/>
        </w:trPr>
        <w:tc>
          <w:tcPr>
            <w:tcW w:w="8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financing costs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w:t>
            </w:r>
          </w:p>
        </w:tc>
      </w:tr>
      <w:tr>
        <w:trPr>
          <w:trHeight w:val="223"/>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on finance leases</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(4,408)</w:t>
            </w:r>
          </w:p>
        </w:tc>
      </w:tr>
      <w:tr>
        <w:trPr>
          <w:trHeight w:val="223"/>
        </w:trPr>
        <w:tc>
          <w:tcPr>
            <w:tcW w:w="8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(costs) from stock offerings, net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r>
      <w:tr>
        <w:trPr>
          <w:trHeight w:val="223"/>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Redemption of noncontrolling interests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Dividends and distributions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(50,433)</w:t>
            </w:r>
          </w:p>
        </w:tc>
      </w:tr>
      <w:tr>
        <w:trPr>
          <w:trHeight w:val="216"/>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(124,862)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161,578</w:t>
            </w:r>
          </w:p>
        </w:tc>
      </w:tr>
      <w:tr>
        <w:trPr>
          <w:trHeight w:val="216"/>
        </w:trPr>
        <w:tc>
          <w:tcPr>
            <w:tcW w:w="8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(decrease) increase in cash, cash equivalents and restricted cash</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167,028</w:t>
            </w: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372,963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177,479</w:t>
            </w:r>
          </w:p>
        </w:tc>
      </w:tr>
      <w:tr>
        <w:trPr>
          <w:trHeight w:val="216"/>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270,764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344,507</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5"/>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cash flow information:</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3"/>
        </w:trPr>
        <w:tc>
          <w:tcPr>
            <w:tcW w:w="8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payments for interest, net of amounts capitalized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56,345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49,710</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5"/>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investing and financing transactions: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7"/>
        </w:trPr>
        <w:tc>
          <w:tcPr>
            <w:tcW w:w="8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development costs included in accounts payable and accrued expenses and other accrued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63,681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48,898</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Conversion of Operating Partnership Units to common stock</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161" w:lineRule="exact"/>
        <w:rPr>
          <w:sz w:val="20"/>
          <w:szCs w:val="20"/>
          <w:color w:val="auto"/>
        </w:rPr>
      </w:pPr>
    </w:p>
    <w:p>
      <w:pPr>
        <w:ind w:right="220" w:firstLine="433"/>
        <w:spacing w:after="0" w:line="297" w:lineRule="auto"/>
        <w:rPr>
          <w:sz w:val="20"/>
          <w:szCs w:val="20"/>
          <w:color w:val="auto"/>
        </w:rPr>
      </w:pPr>
      <w:r>
        <w:rPr>
          <w:rFonts w:ascii="Times New Roman" w:cs="Times New Roman" w:eastAsia="Times New Roman" w:hAnsi="Times New Roman"/>
          <w:sz w:val="17"/>
          <w:szCs w:val="17"/>
          <w:color w:val="auto"/>
        </w:rPr>
        <w:t>The Macerich Company (the "Company") is involved in the acquisition, ownership, development, redevelopment, management and leasing of regional retail centers and community/power shopping centers (the "Centers") located throughout the United States.</w:t>
      </w:r>
    </w:p>
    <w:p>
      <w:pPr>
        <w:spacing w:after="0" w:line="6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Company commenced operations effective with the completion of its initial public offering on March 16, 1994. As of March 31, 2026,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spacing w:after="0" w:line="97" w:lineRule="exact"/>
        <w:rPr>
          <w:sz w:val="20"/>
          <w:szCs w:val="20"/>
          <w:color w:val="auto"/>
        </w:rPr>
      </w:pPr>
    </w:p>
    <w:p>
      <w:pPr>
        <w:ind w:right="140" w:firstLine="433"/>
        <w:spacing w:after="0" w:line="265" w:lineRule="auto"/>
        <w:rPr>
          <w:sz w:val="20"/>
          <w:szCs w:val="20"/>
          <w:color w:val="auto"/>
        </w:rPr>
      </w:pPr>
      <w:r>
        <w:rPr>
          <w:rFonts w:ascii="Times New Roman" w:cs="Times New Roman" w:eastAsia="Times New Roman" w:hAnsi="Times New Roman"/>
          <w:sz w:val="17"/>
          <w:szCs w:val="17"/>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108" w:lineRule="exact"/>
        <w:rPr>
          <w:sz w:val="20"/>
          <w:szCs w:val="20"/>
          <w:color w:val="auto"/>
        </w:rPr>
      </w:pPr>
    </w:p>
    <w:p>
      <w:pPr>
        <w:ind w:right="400" w:firstLine="433"/>
        <w:spacing w:after="0" w:line="297" w:lineRule="auto"/>
        <w:rPr>
          <w:sz w:val="20"/>
          <w:szCs w:val="20"/>
          <w:color w:val="auto"/>
        </w:rPr>
      </w:pPr>
      <w:r>
        <w:rPr>
          <w:rFonts w:ascii="Times New Roman" w:cs="Times New Roman" w:eastAsia="Times New Roman" w:hAnsi="Times New Roman"/>
          <w:sz w:val="17"/>
          <w:szCs w:val="17"/>
          <w:color w:val="auto"/>
        </w:rPr>
        <w:t>All references to the Company in this Quarterly Report on Form 10-Q include the Company, those entities owned or controlled by the Company and predecessors of the Company, unless the context indicates otherwise.</w:t>
      </w:r>
    </w:p>
    <w:p>
      <w:pPr>
        <w:spacing w:after="0" w:line="65" w:lineRule="exact"/>
        <w:rPr>
          <w:sz w:val="20"/>
          <w:szCs w:val="20"/>
          <w:color w:val="auto"/>
        </w:rPr>
      </w:pPr>
    </w:p>
    <w:p>
      <w:pPr>
        <w:ind w:left="400" w:right="7700" w:hanging="395"/>
        <w:spacing w:after="0" w:line="435" w:lineRule="auto"/>
        <w:tabs>
          <w:tab w:leader="none" w:pos="181"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i w:val="1"/>
          <w:iCs w:val="1"/>
          <w:color w:val="auto"/>
        </w:rPr>
        <w:t>Basis of Presentation:</w:t>
      </w:r>
    </w:p>
    <w:p>
      <w:pPr>
        <w:spacing w:after="0" w:line="1" w:lineRule="exact"/>
        <w:rPr>
          <w:sz w:val="20"/>
          <w:szCs w:val="20"/>
          <w:color w:val="auto"/>
        </w:rPr>
      </w:pPr>
    </w:p>
    <w:p>
      <w:pPr>
        <w:jc w:val="both"/>
        <w:ind w:firstLine="433"/>
        <w:spacing w:after="0" w:line="274" w:lineRule="auto"/>
        <w:rPr>
          <w:sz w:val="20"/>
          <w:szCs w:val="20"/>
          <w:color w:val="auto"/>
        </w:rPr>
      </w:pPr>
      <w:r>
        <w:rPr>
          <w:rFonts w:ascii="Times New Roman" w:cs="Times New Roman" w:eastAsia="Times New Roman" w:hAnsi="Times New Roman"/>
          <w:sz w:val="17"/>
          <w:szCs w:val="17"/>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301" w:lineRule="exact"/>
        <w:rPr>
          <w:sz w:val="20"/>
          <w:szCs w:val="20"/>
          <w:color w:val="auto"/>
        </w:rPr>
      </w:pPr>
    </w:p>
    <w:p>
      <w:pPr>
        <w:ind w:right="60" w:firstLine="433"/>
        <w:spacing w:after="0" w:line="277" w:lineRule="auto"/>
        <w:rPr>
          <w:sz w:val="20"/>
          <w:szCs w:val="20"/>
          <w:color w:val="auto"/>
        </w:rPr>
      </w:pPr>
      <w:r>
        <w:rPr>
          <w:rFonts w:ascii="Times New Roman" w:cs="Times New Roman" w:eastAsia="Times New Roman" w:hAnsi="Times New Roman"/>
          <w:sz w:val="17"/>
          <w:szCs w:val="17"/>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 including SanTan Village Regional Center.</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Operating Partnership's consolidated VIEs included the following assets and liabilities: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1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net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118,073</w:t>
            </w: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w:t>
            </w:r>
          </w:p>
        </w:tc>
      </w:tr>
      <w:tr>
        <w:trPr>
          <w:trHeight w:val="21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136,911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136,469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3"/>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Mortgage notes payable</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219,707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219,687</w:t>
            </w: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65,778</w:t>
            </w:r>
          </w:p>
        </w:tc>
      </w:tr>
      <w:tr>
        <w:trPr>
          <w:trHeight w:val="21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284,614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285,465</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All intercompany accounts and transactions have been eliminated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63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52"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color w:val="auto"/>
        </w:rPr>
        <w:t>The unaudited interim consolidated financial statements should be read in conjunction with the Company's audited consolidated financial statements and notes thereto included in the Company's Annual Report on Form 10-K for the year ended December 31, 2025.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2025 has been derived from the audited financial statements but does not include all disclosures required by GAAP.</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a reconciliation of the beginning of period and end of period cash, cash equivalents and restricted cash reported on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consolidated balance sheets to the totals shown on its consolidated statements of cash flows: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20" w:type="dxa"/>
            <w:vAlign w:val="bottom"/>
          </w:tcPr>
          <w:p>
            <w:pPr>
              <w:spacing w:after="0"/>
              <w:rPr>
                <w:sz w:val="16"/>
                <w:szCs w:val="16"/>
                <w:color w:val="auto"/>
              </w:rPr>
            </w:pPr>
          </w:p>
        </w:tc>
        <w:tc>
          <w:tcPr>
            <w:tcW w:w="25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8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85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of period</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280,246</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89,858</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87,621</w:t>
            </w:r>
          </w:p>
        </w:tc>
      </w:tr>
      <w:tr>
        <w:trPr>
          <w:trHeight w:val="216"/>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cash equivalents and restricted cash</w:t>
            </w:r>
          </w:p>
        </w:tc>
        <w:tc>
          <w:tcPr>
            <w:tcW w:w="2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372,963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177,479</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9"/>
        </w:trPr>
        <w:tc>
          <w:tcPr>
            <w:tcW w:w="8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End of period</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182,034</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253,248</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88,730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91,259</w:t>
            </w:r>
          </w:p>
        </w:tc>
      </w:tr>
      <w:tr>
        <w:trPr>
          <w:trHeight w:val="216"/>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cash equivalents and restricted cash</w:t>
            </w:r>
          </w:p>
        </w:tc>
        <w:tc>
          <w:tcPr>
            <w:tcW w:w="2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270,764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344,507</w:t>
            </w: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Recent Accounting Pronouncements:</w:t>
      </w:r>
    </w:p>
    <w:p>
      <w:pPr>
        <w:spacing w:after="0" w:line="147" w:lineRule="exact"/>
        <w:rPr>
          <w:sz w:val="20"/>
          <w:szCs w:val="20"/>
          <w:color w:val="auto"/>
        </w:rPr>
      </w:pPr>
    </w:p>
    <w:p>
      <w:pPr>
        <w:ind w:right="60" w:firstLine="433"/>
        <w:spacing w:after="0" w:line="267" w:lineRule="auto"/>
        <w:rPr>
          <w:sz w:val="20"/>
          <w:szCs w:val="20"/>
          <w:color w:val="auto"/>
        </w:rPr>
      </w:pPr>
      <w:r>
        <w:rPr>
          <w:rFonts w:ascii="Times New Roman" w:cs="Times New Roman" w:eastAsia="Times New Roman" w:hAnsi="Times New Roman"/>
          <w:sz w:val="17"/>
          <w:szCs w:val="17"/>
          <w:color w:val="auto"/>
        </w:rPr>
        <w:t>In November 2024, the Financial Accounting Standards Board (the "FASB") issued Accounting Standards Update ("ASU") 2024-03, Income Statement - Reporting Comprehensive Income - Expense Disaggregation Disclosures (Subtopic 220-40): Disaggregation of Income Statement Expenses ("ASU 2024-03"). The amendments in ASU 2024-03 apply to all public business entities and require disclosure of specified information about certain costs and expenses. ASU 2024-03 is effective for annual reporting periods beginning after December 15, 2026, and interim periods within fiscal years beginning after December 15, 2027, with early adoption permitted. The Company is currently evaluating the potential impact of adopting ASU 2024-03.</w:t>
      </w:r>
    </w:p>
    <w:p>
      <w:pPr>
        <w:spacing w:after="0" w:line="198" w:lineRule="exact"/>
        <w:rPr>
          <w:sz w:val="20"/>
          <w:szCs w:val="20"/>
          <w:color w:val="auto"/>
        </w:rPr>
      </w:pPr>
    </w:p>
    <w:p>
      <w:pPr>
        <w:ind w:right="120" w:firstLine="433"/>
        <w:spacing w:after="0" w:line="265" w:lineRule="auto"/>
        <w:rPr>
          <w:sz w:val="20"/>
          <w:szCs w:val="20"/>
          <w:color w:val="auto"/>
        </w:rPr>
      </w:pPr>
      <w:r>
        <w:rPr>
          <w:rFonts w:ascii="Times New Roman" w:cs="Times New Roman" w:eastAsia="Times New Roman" w:hAnsi="Times New Roman"/>
          <w:sz w:val="17"/>
          <w:szCs w:val="17"/>
          <w:color w:val="auto"/>
        </w:rPr>
        <w:t>In November 2024, the FASB issued ASU 2024-04, Debt - Debt with Conversion and Other Options (Subtopic 470-20): Induced Conversions of Convertible Debt Instruments ("ASU 2024-04"). The amendments in ASU 2024-04 clarify the requirements for determining whether certain settlements of convertible debt instruments should be accounted for as an induced conversion. The new guidance is effective for annual reporting periods beginning after December 15, 2025, and interim periods within those annual periods. The Company adopted ASU 2024-04 as of January 1, 2026. The adoption did not have a material impact on our consolidated financial statements, as the Company has not entered into any exchange-related settlements, modifications, or inducement transactions.</w:t>
      </w:r>
    </w:p>
    <w:p>
      <w:pPr>
        <w:spacing w:after="0" w:line="200" w:lineRule="exact"/>
        <w:rPr>
          <w:sz w:val="20"/>
          <w:szCs w:val="20"/>
          <w:color w:val="auto"/>
        </w:rPr>
      </w:pPr>
    </w:p>
    <w:p>
      <w:pPr>
        <w:jc w:val="both"/>
        <w:ind w:right="40" w:firstLine="433"/>
        <w:spacing w:after="0" w:line="277" w:lineRule="auto"/>
        <w:rPr>
          <w:sz w:val="20"/>
          <w:szCs w:val="20"/>
          <w:color w:val="auto"/>
        </w:rPr>
      </w:pPr>
      <w:r>
        <w:rPr>
          <w:rFonts w:ascii="Times New Roman" w:cs="Times New Roman" w:eastAsia="Times New Roman" w:hAnsi="Times New Roman"/>
          <w:sz w:val="17"/>
          <w:szCs w:val="17"/>
          <w:color w:val="auto"/>
        </w:rPr>
        <w:t>In December 2025, the FASB issued ASU 2025-11, Interim Reporting (Topic 270): Narrow-Scope Improvements ("ASU 2025-11"). The amendments in ASU 2025-11 clarify interim reporting disclosure requirements in Accounting Standards Codification ("ASC") 270 and introduce a new disclosure principle for reporting material events occurring after the most recent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161" w:lineRule="exact"/>
        <w:rPr>
          <w:sz w:val="20"/>
          <w:szCs w:val="20"/>
          <w:color w:val="auto"/>
        </w:rPr>
      </w:pPr>
    </w:p>
    <w:p>
      <w:pPr>
        <w:ind w:right="600"/>
        <w:spacing w:after="0" w:line="297" w:lineRule="auto"/>
        <w:rPr>
          <w:sz w:val="20"/>
          <w:szCs w:val="20"/>
          <w:color w:val="auto"/>
        </w:rPr>
      </w:pPr>
      <w:r>
        <w:rPr>
          <w:rFonts w:ascii="Times New Roman" w:cs="Times New Roman" w:eastAsia="Times New Roman" w:hAnsi="Times New Roman"/>
          <w:sz w:val="17"/>
          <w:szCs w:val="17"/>
          <w:color w:val="auto"/>
        </w:rPr>
        <w:t>annual period. ASU 2025-11 is effective for interim periods within fiscal years beginning after December 15, 2027, with early adoption permitted. The Company is currently evaluating the potential impact of adopting ASU 2025-11.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Earnings Per Share ("EPS"):</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reconciles the numerator and denominator used in the computation of EPS for the three months ended March 31, 2026 and 2025</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5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4"/>
        </w:trPr>
        <w:tc>
          <w:tcPr>
            <w:tcW w:w="15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20" w:type="dxa"/>
            <w:vAlign w:val="bottom"/>
          </w:tcPr>
          <w:p>
            <w:pPr>
              <w:spacing w:after="0"/>
              <w:rPr>
                <w:sz w:val="15"/>
                <w:szCs w:val="15"/>
                <w:color w:val="auto"/>
              </w:rPr>
            </w:pPr>
          </w:p>
        </w:tc>
        <w:tc>
          <w:tcPr>
            <w:tcW w:w="6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2"/>
        </w:trPr>
        <w:tc>
          <w:tcPr>
            <w:tcW w:w="1520" w:type="dxa"/>
            <w:vAlign w:val="bottom"/>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(36,894)</w:t>
            </w:r>
          </w:p>
        </w:tc>
        <w:tc>
          <w:tcPr>
            <w:tcW w:w="16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(51,153)</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attributable to the Company</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(36,350)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(50,123)</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Allocation of earnings to participating securities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 for basic and diluted EPS—net loss attributable to common stockholders</w:t>
            </w: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(36,563)</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(50,319)</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520" w:type="dxa"/>
            <w:vAlign w:val="bottom"/>
          </w:tcPr>
          <w:p>
            <w:pPr>
              <w:spacing w:after="0"/>
              <w:rPr>
                <w:sz w:val="18"/>
                <w:szCs w:val="18"/>
                <w:color w:val="auto"/>
              </w:rPr>
            </w:pPr>
          </w:p>
        </w:tc>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520" w:type="dxa"/>
            <w:vAlign w:val="bottom"/>
          </w:tcPr>
          <w:p>
            <w:pPr>
              <w:spacing w:after="0"/>
              <w:rPr>
                <w:sz w:val="15"/>
                <w:szCs w:val="15"/>
                <w:color w:val="auto"/>
              </w:rPr>
            </w:pPr>
          </w:p>
        </w:tc>
        <w:tc>
          <w:tcPr>
            <w:tcW w:w="628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auto"/>
              </w:rPr>
              <w:t>Denominator for basic and diluted EPS—weighted average number of common shares</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258,028</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252,992</w:t>
            </w: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outstanding(1)</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520" w:type="dxa"/>
            <w:vAlign w:val="bottom"/>
          </w:tcPr>
          <w:p>
            <w:pPr>
              <w:spacing w:after="0"/>
              <w:rPr>
                <w:sz w:val="18"/>
                <w:szCs w:val="18"/>
                <w:color w:val="auto"/>
              </w:rPr>
            </w:pPr>
          </w:p>
        </w:tc>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EPS—net loss attributable to common stockholders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 xml:space="preserve">(shares in thousands):  </w:t>
            </w:r>
            <w:r>
              <w:rPr>
                <w:rFonts w:ascii="Times New Roman" w:cs="Times New Roman" w:eastAsia="Times New Roman" w:hAnsi="Times New Roman"/>
                <w:sz w:val="34"/>
                <w:szCs w:val="34"/>
                <w:color w:val="auto"/>
                <w:vertAlign w:val="superscript"/>
              </w:rPr>
              <w:t>Basic and diluted</w:t>
            </w: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0"/>
        </w:trPr>
        <w:tc>
          <w:tcPr>
            <w:tcW w:w="7800" w:type="dxa"/>
            <w:vAlign w:val="bottom"/>
            <w:gridSpan w:val="2"/>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40" w:right="420" w:hanging="320"/>
        <w:spacing w:after="0" w:line="295" w:lineRule="auto"/>
        <w:tabs>
          <w:tab w:leader="none" w:pos="628"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Diluted EPS excludes 99,565 convertible preferred partnership units for each of the three months ended March 31, 2026 and 2025, as their impact was antidilutive. Diluted EPS also excludes 11,363,327 and 10,858,664 Operating Partnership units ("OP Units") for the three months ended March 31, 2026 and 2025, respectively, as their impact was antidilutive.</w:t>
      </w:r>
    </w:p>
    <w:p>
      <w:pPr>
        <w:spacing w:after="0" w:line="296"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Investments in Unconsolidated Joint Ventures:</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has made the following recent financings or other events within its unconsolidated joint ventures:</w:t>
      </w:r>
    </w:p>
    <w:p>
      <w:pPr>
        <w:spacing w:after="0" w:line="159"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On February 7, 2025, the Company's joint venture in Flatiron Crossing repaid in full the $14,532 mezzanine loan and $14,532 of the first mortgage, and obtained a 90-day extension for the remaining $140,480 of the first mortgage. The mezzanine loan had an interest rate of SOFR plus 12.25% and the first mortgage had an interest rate of SOFR plus 2.90% for a weighted average aggregate interest rate of SOFR plus 3.70%. The interest rate on the first mortgage was SOFR plus 2.90% during the extension period. On March 28, 2025, the Company's joint venture in Flatiron Crossing repaid in full the remaining $140,480 ($71,644 at the Company's pro rata share) of the first mortgage.</w:t>
      </w:r>
    </w:p>
    <w:p>
      <w:pPr>
        <w:spacing w:after="0" w:line="93" w:lineRule="exact"/>
        <w:rPr>
          <w:sz w:val="20"/>
          <w:szCs w:val="20"/>
          <w:color w:val="auto"/>
        </w:rPr>
      </w:pPr>
    </w:p>
    <w:p>
      <w:pPr>
        <w:jc w:val="both"/>
        <w:ind w:right="80" w:firstLine="433"/>
        <w:spacing w:after="0" w:line="277" w:lineRule="auto"/>
        <w:rPr>
          <w:sz w:val="20"/>
          <w:szCs w:val="20"/>
          <w:color w:val="auto"/>
        </w:rPr>
      </w:pPr>
      <w:r>
        <w:rPr>
          <w:rFonts w:ascii="Times New Roman" w:cs="Times New Roman" w:eastAsia="Times New Roman" w:hAnsi="Times New Roman"/>
          <w:sz w:val="17"/>
          <w:szCs w:val="17"/>
          <w:color w:val="auto"/>
        </w:rPr>
        <w:t>On June 30, 2025, the Company sold its remaining 5% effective interest in Paradise Valley Mall in Phoenix, Arizona for $5,532. The Company used the proceeds for general corporate purposes. The Company recognized a loss of approximately $1,157 in connection with this transaction (See Note 6 – Property, net).</w:t>
      </w:r>
    </w:p>
    <w:p>
      <w:pPr>
        <w:spacing w:after="0" w:line="97" w:lineRule="exact"/>
        <w:rPr>
          <w:sz w:val="20"/>
          <w:szCs w:val="20"/>
          <w:color w:val="auto"/>
        </w:rPr>
      </w:pPr>
    </w:p>
    <w:p>
      <w:pPr>
        <w:jc w:val="both"/>
        <w:ind w:right="160" w:firstLine="433"/>
        <w:spacing w:after="0" w:line="277" w:lineRule="auto"/>
        <w:rPr>
          <w:sz w:val="20"/>
          <w:szCs w:val="20"/>
          <w:color w:val="auto"/>
        </w:rPr>
      </w:pPr>
      <w:r>
        <w:rPr>
          <w:rFonts w:ascii="Times New Roman" w:cs="Times New Roman" w:eastAsia="Times New Roman" w:hAnsi="Times New Roman"/>
          <w:sz w:val="17"/>
          <w:szCs w:val="17"/>
          <w:color w:val="auto"/>
        </w:rPr>
        <w:t>On July 30, 2025, the Company’s joint venture closed on the sale of Atlas Park for $72,000. Concurrent with the sale, the $65,000 loan ($32,500 at the Company’s share) owed by the joint venture was paid off in full. The Company used its share of net proceeds for general corporate purposes. The Company's share of the gain from this transaction was $11,953.</w:t>
      </w:r>
    </w:p>
    <w:p>
      <w:pPr>
        <w:spacing w:after="0" w:line="84" w:lineRule="exact"/>
        <w:rPr>
          <w:sz w:val="20"/>
          <w:szCs w:val="20"/>
          <w:color w:val="auto"/>
        </w:rPr>
      </w:pPr>
    </w:p>
    <w:p>
      <w:pPr>
        <w:ind w:right="440" w:firstLine="433"/>
        <w:spacing w:after="0" w:line="297" w:lineRule="auto"/>
        <w:rPr>
          <w:sz w:val="20"/>
          <w:szCs w:val="20"/>
          <w:color w:val="auto"/>
        </w:rPr>
      </w:pPr>
      <w:r>
        <w:rPr>
          <w:rFonts w:ascii="Times New Roman" w:cs="Times New Roman" w:eastAsia="Times New Roman" w:hAnsi="Times New Roman"/>
          <w:sz w:val="17"/>
          <w:szCs w:val="17"/>
          <w:color w:val="auto"/>
        </w:rPr>
        <w:t>Effective February 6, 2026, the $150,000 ($76,500 at the Company's pro rata share) loan on Twenty Ninth Street is in default. The Company's joint venture is in negotiations with the lender on the terms of this loan.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261" w:right="41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Investments in Unconsolidated Joint Ventures: (Continued)</w:t>
      </w:r>
    </w:p>
    <w:p>
      <w:pPr>
        <w:spacing w:after="0" w:line="200" w:lineRule="exact"/>
        <w:rPr>
          <w:sz w:val="20"/>
          <w:szCs w:val="20"/>
          <w:color w:val="auto"/>
        </w:rPr>
      </w:pPr>
    </w:p>
    <w:p>
      <w:pPr>
        <w:spacing w:after="0" w:line="393" w:lineRule="exact"/>
        <w:rPr>
          <w:sz w:val="20"/>
          <w:szCs w:val="20"/>
          <w:color w:val="auto"/>
        </w:rPr>
      </w:pPr>
    </w:p>
    <w:p>
      <w:pPr>
        <w:ind w:right="240" w:firstLine="433"/>
        <w:spacing w:after="0" w:line="297" w:lineRule="auto"/>
        <w:rPr>
          <w:sz w:val="20"/>
          <w:szCs w:val="20"/>
          <w:color w:val="auto"/>
        </w:rPr>
      </w:pPr>
      <w:r>
        <w:rPr>
          <w:rFonts w:ascii="Times New Roman" w:cs="Times New Roman" w:eastAsia="Times New Roman" w:hAnsi="Times New Roman"/>
          <w:sz w:val="17"/>
          <w:szCs w:val="17"/>
          <w:color w:val="auto"/>
        </w:rPr>
        <w:t>On April 7, 2026, the Company’s joint venture replaced the existing $131,212 ($66,918 at the Company’s pro rata share) loan on Deptford Mall with a new $115,000 interest only loan ($58,650 at the Company’s pro rata share) that bears interest at a fixed rate of 6.95% and matures on May 6, 2031.</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Combined and condensed balance sheets and statements of operations are presented below for all unconsolidated joint ventures.</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Combined and Condensed Balance Sheets of Unconsolidated Joint Ventures: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20" w:type="dxa"/>
            <w:vAlign w:val="bottom"/>
            <w:tcBorders>
              <w:bottom w:val="single" w:sz="8" w:color="CCEEFF"/>
            </w:tcBorders>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2"/>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Property, net</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3,197,713</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3,206,517</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400,832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407,271</w:t>
            </w:r>
          </w:p>
        </w:tc>
      </w:tr>
      <w:tr>
        <w:trPr>
          <w:trHeight w:val="216"/>
        </w:trPr>
        <w:tc>
          <w:tcPr>
            <w:tcW w:w="20" w:type="dxa"/>
            <w:vAlign w:val="bottom"/>
          </w:tcPr>
          <w:p>
            <w:pPr>
              <w:spacing w:after="0"/>
              <w:rPr>
                <w:sz w:val="18"/>
                <w:szCs w:val="18"/>
                <w:color w:val="auto"/>
              </w:rPr>
            </w:pPr>
          </w:p>
        </w:tc>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3,598,545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3,613,788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 and partners' capital:</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Mortgage and other notes payable</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3,140,149</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3,145,872</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305,442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308,150</w:t>
            </w:r>
          </w:p>
        </w:tc>
      </w:tr>
      <w:tr>
        <w:trPr>
          <w:trHeight w:val="223"/>
        </w:trPr>
        <w:tc>
          <w:tcPr>
            <w:tcW w:w="20" w:type="dxa"/>
            <w:vAlign w:val="bottom"/>
          </w:tcPr>
          <w:p>
            <w:pPr>
              <w:spacing w:after="0"/>
              <w:rPr>
                <w:sz w:val="19"/>
                <w:szCs w:val="19"/>
                <w:color w:val="auto"/>
              </w:rPr>
            </w:pPr>
          </w:p>
        </w:tc>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Company's capital</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140,911</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Outside partners' capital</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18,855</w:t>
            </w:r>
          </w:p>
        </w:tc>
      </w:tr>
      <w:tr>
        <w:trPr>
          <w:trHeight w:val="216"/>
        </w:trPr>
        <w:tc>
          <w:tcPr>
            <w:tcW w:w="20" w:type="dxa"/>
            <w:vAlign w:val="bottom"/>
          </w:tcPr>
          <w:p>
            <w:pPr>
              <w:spacing w:after="0"/>
              <w:rPr>
                <w:sz w:val="18"/>
                <w:szCs w:val="18"/>
                <w:color w:val="auto"/>
              </w:rPr>
            </w:pPr>
          </w:p>
        </w:tc>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3,598,545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3,613,788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joint ventures: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Company's capital</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132,186</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140,911</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Basis adjustment(1)</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367,562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371,776</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499,748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512,687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5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Assets—Investments in unconsolidated joint ventures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699,632</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707,075</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Liabilities—Distributions in excess of investments in unconsolidated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(194,388)</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499,748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512,687</w:t>
            </w: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Borders>
              <w:bottom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240" w:lineRule="exact"/>
        <w:rPr>
          <w:sz w:val="20"/>
          <w:szCs w:val="20"/>
          <w:color w:val="auto"/>
        </w:rPr>
      </w:pPr>
    </w:p>
    <w:p>
      <w:pPr>
        <w:ind w:left="400" w:right="160" w:hanging="395"/>
        <w:spacing w:after="0" w:line="270" w:lineRule="auto"/>
        <w:tabs>
          <w:tab w:leader="none" w:pos="34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amortizes the difference between the cost of its investments in unconsolidated joint ventures and the book value of the underlying equity and adjusts the basis adjustment for impairment and disposition transactions that may occur, into the Company's share of net loss. The amortization of this difference was $4,981 and $5,348 for the three months ended March 31, 2026 and 2025, respectively.</w:t>
      </w:r>
    </w:p>
    <w:p>
      <w:pPr>
        <w:sectPr>
          <w:pgSz w:w="11900" w:h="16838" w:orient="portrait"/>
          <w:cols w:equalWidth="0" w:num="1">
            <w:col w:w="11220"/>
          </w:cols>
          <w:pgMar w:left="320" w:top="26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4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5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Investments in Unconsolidated Joint Ventures: (Continued)</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Combined and Condensed Statements of Operations of Unconsolidated Joint Ventures:</w:t>
      </w:r>
    </w:p>
    <w:p>
      <w:pPr>
        <w:spacing w:after="0" w:line="286" w:lineRule="exact"/>
        <w:rPr>
          <w:sz w:val="20"/>
          <w:szCs w:val="20"/>
          <w:color w:val="auto"/>
        </w:rPr>
      </w:pPr>
    </w:p>
    <w:tbl>
      <w:tblPr>
        <w:tblLayout w:type="fixed"/>
        <w:tblInd w:w="250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Three Months Ended March 31, 2026</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Leasing revenue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145,628</w:t>
            </w:r>
          </w:p>
        </w:tc>
      </w:tr>
      <w:tr>
        <w:trPr>
          <w:trHeight w:val="22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(4,115)</w:t>
            </w:r>
          </w:p>
        </w:tc>
      </w:tr>
      <w:tr>
        <w:trPr>
          <w:trHeight w:val="216"/>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revenues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141,513</w:t>
            </w: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Shopping center and operating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50,429</w:t>
            </w:r>
          </w:p>
        </w:tc>
      </w:tr>
      <w:tr>
        <w:trPr>
          <w:trHeight w:val="223"/>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Leasing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w:t>
            </w:r>
          </w:p>
        </w:tc>
      </w:tr>
      <w:tr>
        <w:trPr>
          <w:trHeight w:val="22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40,487</w:t>
            </w:r>
          </w:p>
        </w:tc>
      </w:tr>
      <w:tr>
        <w:trPr>
          <w:trHeight w:val="22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47,463</w:t>
            </w:r>
          </w:p>
        </w:tc>
      </w:tr>
      <w:tr>
        <w:trPr>
          <w:trHeight w:val="216"/>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expenses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140,380</w:t>
            </w:r>
          </w:p>
        </w:tc>
      </w:tr>
      <w:tr>
        <w:trPr>
          <w:trHeight w:val="216"/>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 on sale or write down of assets, net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(858)</w:t>
            </w:r>
          </w:p>
        </w:tc>
      </w:tr>
      <w:tr>
        <w:trPr>
          <w:trHeight w:val="241"/>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Company's equity in net loss</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(9,866)</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02"/>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Three Months Ended March 31, 2025</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Leasing revenue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146,183</w:t>
            </w:r>
          </w:p>
        </w:tc>
      </w:tr>
      <w:tr>
        <w:trPr>
          <w:trHeight w:val="22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2,770</w:t>
            </w:r>
          </w:p>
        </w:tc>
      </w:tr>
      <w:tr>
        <w:trPr>
          <w:trHeight w:val="216"/>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revenues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148,953</w:t>
            </w: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Shopping center and operating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55,690</w:t>
            </w:r>
          </w:p>
        </w:tc>
      </w:tr>
      <w:tr>
        <w:trPr>
          <w:trHeight w:val="223"/>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Leasing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1,736</w:t>
            </w:r>
          </w:p>
        </w:tc>
      </w:tr>
      <w:tr>
        <w:trPr>
          <w:trHeight w:val="22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45,123</w:t>
            </w:r>
          </w:p>
        </w:tc>
      </w:tr>
      <w:tr>
        <w:trPr>
          <w:trHeight w:val="22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46,086</w:t>
            </w:r>
          </w:p>
        </w:tc>
      </w:tr>
      <w:tr>
        <w:trPr>
          <w:trHeight w:val="216"/>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expenses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148,635</w:t>
            </w: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sale or write down of assets,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3,576</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net(1)</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13,313</w:t>
            </w: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17,207</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Company's equity in net loss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40" w:hanging="335"/>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represents income received from legal claims settlements.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Significant accounting policies used by the unconsolidated joint ventures are similar to those used by the Company.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261"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Derivative Instruments and Hedging Activities:</w:t>
      </w:r>
    </w:p>
    <w:p>
      <w:pPr>
        <w:spacing w:after="0" w:line="161" w:lineRule="exact"/>
        <w:rPr>
          <w:sz w:val="20"/>
          <w:szCs w:val="20"/>
          <w:color w:val="auto"/>
        </w:rPr>
      </w:pPr>
    </w:p>
    <w:p>
      <w:pPr>
        <w:ind w:right="160" w:firstLine="433"/>
        <w:spacing w:after="0" w:line="270" w:lineRule="auto"/>
        <w:rPr>
          <w:sz w:val="20"/>
          <w:szCs w:val="20"/>
          <w:color w:val="auto"/>
        </w:rPr>
      </w:pPr>
      <w:r>
        <w:rPr>
          <w:rFonts w:ascii="Times New Roman" w:cs="Times New Roman" w:eastAsia="Times New Roman" w:hAnsi="Times New Roman"/>
          <w:sz w:val="17"/>
          <w:szCs w:val="17"/>
          <w:color w:val="auto"/>
        </w:rPr>
        <w:t>The Company uses interest rate cap agreements to manage the interest rate risk on certain floating rate debt. The Company recorded other comprehensive income related to the marking-to-market of derivative instruments of $2 and $20 for the three months ended March 31, 2026 and 2025, respectively. The amounts in other comprehensive income represent the Company's pro rata share of hedged derivative instruments from certain unconsolidated joint ventures. The following derivative was outstanding at March 31, 2026 and December 31, 2025:</w:t>
      </w:r>
    </w:p>
    <w:p>
      <w:pPr>
        <w:spacing w:after="0" w:line="137"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gridSpan w:val="2"/>
          </w:tcPr>
          <w:p>
            <w:pPr>
              <w:jc w:val="right"/>
              <w:ind w:right="507"/>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Designation</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5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SOFR Rate</w:t>
            </w: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00" w:type="dxa"/>
            <w:vAlign w:val="bottom"/>
          </w:tcPr>
          <w:p>
            <w:pPr>
              <w:jc w:val="center"/>
              <w:ind w:left="187"/>
              <w:spacing w:after="0" w:line="125"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300" w:type="dxa"/>
            <w:vAlign w:val="bottom"/>
          </w:tcPr>
          <w:p>
            <w:pPr>
              <w:spacing w:after="0"/>
              <w:rPr>
                <w:sz w:val="10"/>
                <w:szCs w:val="10"/>
                <w:color w:val="auto"/>
              </w:rPr>
            </w:pPr>
          </w:p>
        </w:tc>
        <w:tc>
          <w:tcPr>
            <w:tcW w:w="92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91"/>
        </w:trPr>
        <w:tc>
          <w:tcPr>
            <w:tcW w:w="25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00" w:type="dxa"/>
            <w:vAlign w:val="bottom"/>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6"/>
                <w:szCs w:val="16"/>
                <w:color w:val="auto"/>
              </w:rPr>
            </w:pPr>
          </w:p>
        </w:tc>
        <w:tc>
          <w:tcPr>
            <w:tcW w:w="920" w:type="dxa"/>
            <w:vAlign w:val="bottom"/>
          </w:tcPr>
          <w:p>
            <w:pPr>
              <w:jc w:val="right"/>
              <w:ind w:right="4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Crabtree Mall</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Non-Hedged</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159,100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8/7/2027</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75</w:t>
            </w:r>
          </w:p>
        </w:tc>
        <w:tc>
          <w:tcPr>
            <w:tcW w:w="920" w:type="dxa"/>
            <w:vAlign w:val="bottom"/>
            <w:tcBorders>
              <w:top w:val="single" w:sz="8" w:color="auto"/>
            </w:tcBorders>
            <w:shd w:val="clear" w:color="auto" w:fill="CCEEFF"/>
          </w:tcPr>
          <w:p>
            <w:pPr>
              <w:jc w:val="right"/>
              <w:ind w:right="66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right="200" w:firstLine="433"/>
        <w:spacing w:after="0" w:line="267" w:lineRule="auto"/>
        <w:rPr>
          <w:sz w:val="20"/>
          <w:szCs w:val="20"/>
          <w:color w:val="auto"/>
        </w:rPr>
      </w:pPr>
      <w:r>
        <w:rPr>
          <w:rFonts w:ascii="Times New Roman" w:cs="Times New Roman" w:eastAsia="Times New Roman" w:hAnsi="Times New Roman"/>
          <w:sz w:val="17"/>
          <w:szCs w:val="17"/>
          <w:color w:val="auto"/>
        </w:rPr>
        <w:t>The above derivative was valued with an aggregate fair value (Level 2 measurement) and was included in deferred charges and other assets, net. The fair value of the Company's interest rate derivative was determined using discounted cash flow analysis on the expected cash flows of the derivative. This analysis reflects the contractual terms of the derivative,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w:t>
      </w:r>
    </w:p>
    <w:p>
      <w:pPr>
        <w:spacing w:after="0" w:line="106" w:lineRule="exact"/>
        <w:rPr>
          <w:sz w:val="20"/>
          <w:szCs w:val="20"/>
          <w:color w:val="auto"/>
        </w:rPr>
      </w:pPr>
    </w:p>
    <w:p>
      <w:pPr>
        <w:ind w:right="120" w:firstLine="433"/>
        <w:spacing w:after="0" w:line="267" w:lineRule="auto"/>
        <w:rPr>
          <w:sz w:val="20"/>
          <w:szCs w:val="20"/>
          <w:color w:val="auto"/>
        </w:rPr>
      </w:pPr>
      <w:r>
        <w:rPr>
          <w:rFonts w:ascii="Times New Roman" w:cs="Times New Roman" w:eastAsia="Times New Roman" w:hAnsi="Times New Roman"/>
          <w:sz w:val="17"/>
          <w:szCs w:val="17"/>
          <w:color w:val="auto"/>
        </w:rPr>
        <w:t>Although the Company has determined that the majority of the inputs used to value its derivative falls within Level 2 of the fair value hierarchy, the credit valuation adjustments associated with its derivative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cap. As a result, the Company determined that its interest rate cap valuation in its entirety is classified in Level 2 of the fair value hierarchy.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Property, net:</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Property, net consists of the following:</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6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1,541,312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1,538,916</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6,526,064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6,492,487</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Tenant improvements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703,397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675,233</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Equipment and furnishings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170,869</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307,729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323,142</w:t>
            </w:r>
          </w:p>
        </w:tc>
      </w:tr>
      <w:tr>
        <w:trPr>
          <w:trHeight w:val="216"/>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9,250,617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9,200,647</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(2,584,175)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(2,512,519)</w:t>
            </w:r>
          </w:p>
        </w:tc>
      </w:tr>
      <w:tr>
        <w:trPr>
          <w:trHeight w:val="216"/>
        </w:trPr>
        <w:tc>
          <w:tcPr>
            <w:tcW w:w="67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6,666,442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6,688,128</w:t>
            </w: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Depreciation expense was $71,655 and $73,446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26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4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Property, net: (Continued)</w:t>
      </w:r>
    </w:p>
    <w:p>
      <w:pPr>
        <w:spacing w:after="0" w:line="200" w:lineRule="exact"/>
        <w:rPr>
          <w:sz w:val="20"/>
          <w:szCs w:val="20"/>
          <w:color w:val="auto"/>
        </w:rPr>
      </w:pPr>
    </w:p>
    <w:p>
      <w:pPr>
        <w:spacing w:after="0" w:line="3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Gain (loss) on sale or write-down of assets, net for the three months ended March 31, 2026 and 2025 consists of the following:</w:t>
      </w:r>
    </w:p>
    <w:p>
      <w:pPr>
        <w:spacing w:after="0" w:line="180"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p>
      <w:pPr>
        <w:jc w:val="center"/>
        <w:ind w:left="322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9"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4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property sales, net(1)</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(1,567)</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on write-down of assets(2)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(13,343)</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land sales, net(3)</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r>
      <w:tr>
        <w:trPr>
          <w:trHeight w:val="216"/>
        </w:trPr>
        <w:tc>
          <w:tcPr>
            <w:tcW w:w="54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6,840</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(13,987)</w:t>
            </w: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940" w:hanging="306"/>
        <w:spacing w:after="0"/>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2025, includes loss related to the sale of Wilton Mall (See Note 15—Dispositions).</w:t>
      </w:r>
    </w:p>
    <w:p>
      <w:pPr>
        <w:spacing w:after="0" w:line="219" w:lineRule="exact"/>
        <w:rPr>
          <w:rFonts w:ascii="Times New Roman" w:cs="Times New Roman" w:eastAsia="Times New Roman" w:hAnsi="Times New Roman"/>
          <w:sz w:val="14"/>
          <w:szCs w:val="14"/>
          <w:color w:val="auto"/>
        </w:rPr>
      </w:pPr>
    </w:p>
    <w:p>
      <w:pPr>
        <w:ind w:left="1100" w:right="100" w:hanging="466"/>
        <w:spacing w:after="0" w:line="266" w:lineRule="auto"/>
        <w:tabs>
          <w:tab w:leader="none" w:pos="93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$3,076 related to the write off of development costs for the three months ended March 31, 2026 and an impairment loss of $13,343 for the three months ended March 31, 2025 due to the reduction of the estimated holding periods of certain properties, including SouthPark Mall.</w:t>
      </w:r>
    </w:p>
    <w:p>
      <w:pPr>
        <w:spacing w:after="0" w:line="89" w:lineRule="exact"/>
        <w:rPr>
          <w:rFonts w:ascii="Times New Roman" w:cs="Times New Roman" w:eastAsia="Times New Roman" w:hAnsi="Times New Roman"/>
          <w:sz w:val="14"/>
          <w:szCs w:val="14"/>
          <w:color w:val="auto"/>
        </w:rPr>
      </w:pPr>
    </w:p>
    <w:p>
      <w:pPr>
        <w:ind w:left="940" w:hanging="306"/>
        <w:spacing w:after="0"/>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15—Dispositions.</w:t>
      </w:r>
    </w:p>
    <w:p>
      <w:pPr>
        <w:spacing w:after="0" w:line="200" w:lineRule="exact"/>
        <w:rPr>
          <w:sz w:val="20"/>
          <w:szCs w:val="20"/>
          <w:color w:val="auto"/>
        </w:rPr>
      </w:pPr>
    </w:p>
    <w:p>
      <w:pPr>
        <w:spacing w:after="0" w:line="325"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7"/>
          <w:szCs w:val="17"/>
          <w:color w:val="auto"/>
        </w:rPr>
        <w:t>The following table summarizes certain of the Company's assets that were measured on a nonrecurring basis as a result of the impairment losses recorded for the three months ended March 31, 2026 and 2025, as described above:</w:t>
      </w:r>
    </w:p>
    <w:p>
      <w:pPr>
        <w:spacing w:after="0" w:line="296"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2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Quoted Prices in</w:t>
            </w:r>
          </w:p>
        </w:tc>
        <w:tc>
          <w:tcPr>
            <w:tcW w:w="160" w:type="dxa"/>
            <w:vAlign w:val="bottom"/>
          </w:tcPr>
          <w:p>
            <w:pPr>
              <w:spacing w:after="0"/>
              <w:rPr>
                <w:sz w:val="16"/>
                <w:szCs w:val="16"/>
                <w:color w:val="auto"/>
              </w:rPr>
            </w:pPr>
          </w:p>
        </w:tc>
        <w:tc>
          <w:tcPr>
            <w:tcW w:w="1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Significant Other</w:t>
            </w:r>
          </w:p>
        </w:tc>
        <w:tc>
          <w:tcPr>
            <w:tcW w:w="280" w:type="dxa"/>
            <w:vAlign w:val="bottom"/>
          </w:tcPr>
          <w:p>
            <w:pPr>
              <w:spacing w:after="0"/>
              <w:rPr>
                <w:sz w:val="16"/>
                <w:szCs w:val="16"/>
                <w:color w:val="auto"/>
              </w:rPr>
            </w:pPr>
          </w:p>
        </w:tc>
        <w:tc>
          <w:tcPr>
            <w:tcW w:w="1440" w:type="dxa"/>
            <w:vAlign w:val="bottom"/>
            <w:vMerge w:val="restart"/>
          </w:tcPr>
          <w:p>
            <w:pPr>
              <w:jc w:val="center"/>
              <w:ind w:right="193"/>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0" w:type="dxa"/>
            <w:vAlign w:val="bottom"/>
          </w:tcPr>
          <w:p>
            <w:pPr>
              <w:spacing w:after="0"/>
              <w:rPr>
                <w:sz w:val="1"/>
                <w:szCs w:val="1"/>
                <w:color w:val="auto"/>
              </w:rPr>
            </w:pPr>
          </w:p>
        </w:tc>
      </w:tr>
      <w:tr>
        <w:trPr>
          <w:trHeight w:val="170"/>
        </w:trPr>
        <w:tc>
          <w:tcPr>
            <w:tcW w:w="2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80"/>
              <w:spacing w:after="0" w:line="171" w:lineRule="exact"/>
              <w:rPr>
                <w:sz w:val="20"/>
                <w:szCs w:val="20"/>
                <w:color w:val="auto"/>
              </w:rPr>
            </w:pPr>
            <w:r>
              <w:rPr>
                <w:rFonts w:ascii="Times New Roman" w:cs="Times New Roman" w:eastAsia="Times New Roman" w:hAnsi="Times New Roman"/>
                <w:sz w:val="17"/>
                <w:szCs w:val="17"/>
                <w:b w:val="1"/>
                <w:bCs w:val="1"/>
                <w:color w:val="auto"/>
              </w:rPr>
              <w:t>Active Markets for</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40" w:type="dxa"/>
            <w:vAlign w:val="bottom"/>
            <w:vMerge w:val="restart"/>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Total Fair Value</w:t>
            </w:r>
          </w:p>
        </w:tc>
        <w:tc>
          <w:tcPr>
            <w:tcW w:w="120" w:type="dxa"/>
            <w:vAlign w:val="bottom"/>
          </w:tcPr>
          <w:p>
            <w:pPr>
              <w:spacing w:after="0"/>
              <w:rPr>
                <w:sz w:val="19"/>
                <w:szCs w:val="19"/>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Identical Assets</w:t>
            </w:r>
          </w:p>
        </w:tc>
        <w:tc>
          <w:tcPr>
            <w:tcW w:w="188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Unobservable Inputs</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Unobservable Inputs</w:t>
            </w:r>
          </w:p>
        </w:tc>
        <w:tc>
          <w:tcPr>
            <w:tcW w:w="0" w:type="dxa"/>
            <w:vAlign w:val="bottom"/>
          </w:tcPr>
          <w:p>
            <w:pPr>
              <w:spacing w:after="0"/>
              <w:rPr>
                <w:sz w:val="1"/>
                <w:szCs w:val="1"/>
                <w:color w:val="auto"/>
              </w:rPr>
            </w:pPr>
          </w:p>
        </w:tc>
      </w:tr>
      <w:tr>
        <w:trPr>
          <w:trHeight w:val="33"/>
        </w:trPr>
        <w:tc>
          <w:tcPr>
            <w:tcW w:w="2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60" w:type="dxa"/>
            <w:vAlign w:val="bottom"/>
          </w:tcPr>
          <w:p>
            <w:pPr>
              <w:spacing w:after="0"/>
              <w:rPr>
                <w:sz w:val="2"/>
                <w:szCs w:val="2"/>
                <w:color w:val="auto"/>
              </w:rPr>
            </w:pPr>
          </w:p>
        </w:tc>
        <w:tc>
          <w:tcPr>
            <w:tcW w:w="1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80" w:type="dxa"/>
            <w:vAlign w:val="bottom"/>
          </w:tcPr>
          <w:p>
            <w:pPr>
              <w:spacing w:after="0"/>
              <w:rPr>
                <w:sz w:val="2"/>
                <w:szCs w:val="2"/>
                <w:color w:val="auto"/>
              </w:rPr>
            </w:pPr>
          </w:p>
        </w:tc>
        <w:tc>
          <w:tcPr>
            <w:tcW w:w="1440" w:type="dxa"/>
            <w:vAlign w:val="bottom"/>
            <w:vMerge w:val="restart"/>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0" w:type="dxa"/>
            <w:vAlign w:val="bottom"/>
          </w:tcPr>
          <w:p>
            <w:pPr>
              <w:spacing w:after="0" w:line="20" w:lineRule="exact"/>
              <w:rPr>
                <w:sz w:val="1"/>
                <w:szCs w:val="1"/>
                <w:color w:val="auto"/>
              </w:rPr>
            </w:pPr>
          </w:p>
        </w:tc>
      </w:tr>
      <w:tr>
        <w:trPr>
          <w:trHeight w:val="236"/>
        </w:trPr>
        <w:tc>
          <w:tcPr>
            <w:tcW w:w="2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Measurement</w:t>
            </w:r>
          </w:p>
        </w:tc>
        <w:tc>
          <w:tcPr>
            <w:tcW w:w="120" w:type="dxa"/>
            <w:vAlign w:val="bottom"/>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31, 2026</w:t>
            </w:r>
          </w:p>
        </w:tc>
        <w:tc>
          <w:tcPr>
            <w:tcW w:w="1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31,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35,000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16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fair value (Level 2 measurement) related to the 2025 impairments are based on sales contracts and are classified within Level 2 of the hierarchy.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Tenant and Other Receivables, net:</w:t>
      </w:r>
    </w:p>
    <w:p>
      <w:pPr>
        <w:spacing w:after="0" w:line="147" w:lineRule="exact"/>
        <w:rPr>
          <w:sz w:val="20"/>
          <w:szCs w:val="20"/>
          <w:color w:val="auto"/>
        </w:rPr>
      </w:pPr>
    </w:p>
    <w:p>
      <w:pPr>
        <w:ind w:right="200" w:firstLine="433"/>
        <w:spacing w:after="0" w:line="274" w:lineRule="auto"/>
        <w:rPr>
          <w:sz w:val="20"/>
          <w:szCs w:val="20"/>
          <w:color w:val="auto"/>
        </w:rPr>
      </w:pPr>
      <w:r>
        <w:rPr>
          <w:rFonts w:ascii="Times New Roman" w:cs="Times New Roman" w:eastAsia="Times New Roman" w:hAnsi="Times New Roman"/>
          <w:sz w:val="17"/>
          <w:szCs w:val="17"/>
          <w:color w:val="auto"/>
        </w:rPr>
        <w:t>Included in tenant and other receivables, net is an allowance for doubtful accounts of $9,133 and $7,789 at March 31, 2026 and December 31, 2025, respectively. Also included in tenant and other receivables, net are accrued percentage rents of $2,334 and $15,360 at March 31, 2026 and December 31, 2025, respectively, and a deferred rent receivable due to straight-line rent adjustments of $95,870 and $94,539 at March 31, 2026 and December 31, 2025, respectively.</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Leases:</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Lessor Leases:</w:t>
      </w:r>
    </w:p>
    <w:p>
      <w:pPr>
        <w:spacing w:after="0" w:line="147" w:lineRule="exact"/>
        <w:rPr>
          <w:sz w:val="20"/>
          <w:szCs w:val="20"/>
          <w:color w:val="auto"/>
        </w:rPr>
      </w:pPr>
    </w:p>
    <w:p>
      <w:pPr>
        <w:ind w:right="160" w:firstLine="433"/>
        <w:spacing w:after="0" w:line="264" w:lineRule="auto"/>
        <w:rPr>
          <w:sz w:val="20"/>
          <w:szCs w:val="20"/>
          <w:color w:val="auto"/>
        </w:rPr>
      </w:pPr>
      <w:r>
        <w:rPr>
          <w:rFonts w:ascii="Times New Roman" w:cs="Times New Roman" w:eastAsia="Times New Roman" w:hAnsi="Times New Roman"/>
          <w:sz w:val="17"/>
          <w:szCs w:val="17"/>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is not considered probable, lease income is recognized on a cash basis and all previously recognized tenant accounts receivables,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20"/>
          </w:cols>
          <w:pgMar w:left="320" w:top="261"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Leases: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straight-line rent, are fully reserved in the period in which the lease income is determined not to be probable of collection.</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components of leasing revenue for the three months ended March 31, 2026 and 2025:</w:t>
      </w:r>
    </w:p>
    <w:p>
      <w:pPr>
        <w:spacing w:after="0" w:line="179"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1"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440" w:type="dxa"/>
        <w:tblCellMar>
          <w:top w:w="0" w:type="dxa"/>
          <w:left w:w="0" w:type="dxa"/>
          <w:bottom w:w="0" w:type="dxa"/>
          <w:right w:w="0" w:type="dxa"/>
        </w:tblCellMar>
      </w:tblPr>
      <w:tr>
        <w:trPr>
          <w:trHeight w:val="194"/>
        </w:trPr>
        <w:tc>
          <w:tcPr>
            <w:tcW w:w="44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Leasing revenue—fixed payments</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175,908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178,864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Leasing revenue—variable payments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58,341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doubtful accounts</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4460" w:type="dxa"/>
            <w:vAlign w:val="bottom"/>
          </w:tcPr>
          <w:p>
            <w:pPr>
              <w:spacing w:after="0"/>
              <w:rPr>
                <w:sz w:val="18"/>
                <w:szCs w:val="18"/>
                <w:color w:val="auto"/>
              </w:rPr>
            </w:pP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225,976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235,647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805"/>
        </w:trPr>
        <w:tc>
          <w:tcPr>
            <w:tcW w:w="56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following table summarizes the future rental payments to the Company:</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Twelve months ending March 31,</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614,776</w:t>
            </w: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541,644</w:t>
            </w: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473,392</w:t>
            </w: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375,821</w:t>
            </w: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300,917</w:t>
            </w:r>
          </w:p>
        </w:tc>
      </w:tr>
      <w:tr>
        <w:trPr>
          <w:trHeight w:val="22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1,065,541</w:t>
            </w:r>
          </w:p>
        </w:tc>
      </w:tr>
      <w:tr>
        <w:trPr>
          <w:trHeight w:val="241"/>
        </w:trPr>
        <w:tc>
          <w:tcPr>
            <w:tcW w:w="4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3,372,091</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Lessee Leases:</w:t>
      </w:r>
    </w:p>
    <w:p>
      <w:pPr>
        <w:spacing w:after="0" w:line="16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Company has certain properties that are subject to non-cancelable operating leases. The leases expire at various times through 2078, subject in some cases to options to extend the terms of the lease. Certain leases provide for contingent rent payments based on a percentage of base rental income, as defined in the lease.</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lease costs for the three months ended March 31, 2026 and 2025:</w:t>
      </w:r>
    </w:p>
    <w:p>
      <w:pPr>
        <w:spacing w:after="0" w:line="179"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1"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440" w:type="dxa"/>
        <w:tblCellMar>
          <w:top w:w="0" w:type="dxa"/>
          <w:left w:w="0" w:type="dxa"/>
          <w:bottom w:w="0" w:type="dxa"/>
          <w:right w:w="0" w:type="dxa"/>
        </w:tblCellMar>
      </w:tblPr>
      <w:tr>
        <w:trPr>
          <w:trHeight w:val="194"/>
        </w:trPr>
        <w:tc>
          <w:tcPr>
            <w:tcW w:w="44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3,271</w:t>
            </w: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3"/>
        </w:trPr>
        <w:tc>
          <w:tcPr>
            <w:tcW w:w="4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2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41"/>
        </w:trPr>
        <w:tc>
          <w:tcPr>
            <w:tcW w:w="44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3,288</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261"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3"/>
          </w:tcPr>
          <w:p>
            <w:pPr>
              <w:jc w:val="right"/>
              <w:ind w:right="81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8. Leases: (Continued)</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6980" w:type="dxa"/>
            <w:vAlign w:val="bottom"/>
            <w:gridSpan w:val="6"/>
          </w:tcPr>
          <w:p>
            <w:pPr>
              <w:ind w:left="640"/>
              <w:spacing w:after="0"/>
              <w:rPr>
                <w:sz w:val="20"/>
                <w:szCs w:val="20"/>
                <w:color w:val="auto"/>
              </w:rPr>
            </w:pPr>
            <w:r>
              <w:rPr>
                <w:rFonts w:ascii="Times New Roman" w:cs="Times New Roman" w:eastAsia="Times New Roman" w:hAnsi="Times New Roman"/>
                <w:sz w:val="17"/>
                <w:szCs w:val="17"/>
                <w:color w:val="auto"/>
              </w:rPr>
              <w:t>The following table summarizes the future rental payments required under the leases: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3"/>
          </w:tcPr>
          <w:p>
            <w:pPr>
              <w:jc w:val="center"/>
              <w:ind w:right="1213"/>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right="176"/>
              <w:spacing w:after="0" w:line="126" w:lineRule="exact"/>
              <w:rPr>
                <w:sz w:val="20"/>
                <w:szCs w:val="20"/>
                <w:color w:val="auto"/>
              </w:rPr>
            </w:pPr>
            <w:r>
              <w:rPr>
                <w:rFonts w:ascii="Times New Roman" w:cs="Times New Roman" w:eastAsia="Times New Roman" w:hAnsi="Times New Roman"/>
                <w:sz w:val="14"/>
                <w:szCs w:val="14"/>
                <w:b w:val="1"/>
                <w:bCs w:val="1"/>
                <w:color w:val="auto"/>
                <w:w w:val="97"/>
              </w:rPr>
              <w:t>Operating</w:t>
            </w: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3"/>
          </w:tcPr>
          <w:p>
            <w:pPr>
              <w:jc w:val="center"/>
              <w:ind w:right="121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9,138</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12,231</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8,785</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6,620</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6,663</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69,745</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undiscounted rental payments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113,182</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(48,033)</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liabilities</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65,149</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remaining term</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 years</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incremental borrowing rate</w:t>
            </w: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6.9 %</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9. Deferred Charges and Other Assets, net: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43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6980" w:type="dxa"/>
            <w:vAlign w:val="bottom"/>
            <w:gridSpan w:val="6"/>
          </w:tcPr>
          <w:p>
            <w:pPr>
              <w:ind w:left="640"/>
              <w:spacing w:after="0"/>
              <w:rPr>
                <w:sz w:val="20"/>
                <w:szCs w:val="20"/>
                <w:color w:val="auto"/>
              </w:rPr>
            </w:pPr>
            <w:r>
              <w:rPr>
                <w:rFonts w:ascii="Times New Roman" w:cs="Times New Roman" w:eastAsia="Times New Roman" w:hAnsi="Times New Roman"/>
                <w:sz w:val="17"/>
                <w:szCs w:val="17"/>
                <w:color w:val="auto"/>
              </w:rPr>
              <w:t>Deferred charges and other assets, net consist of the following:</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6"/>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41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2"/>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Leasing</w:t>
            </w:r>
          </w:p>
        </w:tc>
        <w:tc>
          <w:tcPr>
            <w:tcW w:w="22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55,072</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In-place lease values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136,239</w:t>
            </w:r>
          </w:p>
        </w:tc>
        <w:tc>
          <w:tcPr>
            <w:tcW w:w="0" w:type="dxa"/>
            <w:vAlign w:val="bottom"/>
          </w:tcPr>
          <w:p>
            <w:pPr>
              <w:spacing w:after="0"/>
              <w:rPr>
                <w:sz w:val="1"/>
                <w:szCs w:val="1"/>
                <w:color w:val="auto"/>
              </w:rPr>
            </w:pPr>
          </w:p>
        </w:tc>
      </w:tr>
      <w:tr>
        <w:trPr>
          <w:trHeight w:val="223"/>
        </w:trPr>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Leasing commissions and legal costs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30,134</w:t>
            </w: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Above-market leases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75,756</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27,517</w:t>
            </w: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compensation plan 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75,003</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60,019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445,490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459,740</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amortization(1)</w:t>
            </w:r>
          </w:p>
        </w:tc>
        <w:tc>
          <w:tcPr>
            <w:tcW w:w="2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(126,457)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(116,309)</w:t>
            </w:r>
          </w:p>
        </w:tc>
        <w:tc>
          <w:tcPr>
            <w:tcW w:w="0" w:type="dxa"/>
            <w:vAlign w:val="bottom"/>
          </w:tcPr>
          <w:p>
            <w:pPr>
              <w:spacing w:after="0"/>
              <w:rPr>
                <w:sz w:val="1"/>
                <w:szCs w:val="1"/>
                <w:color w:val="auto"/>
              </w:rPr>
            </w:pPr>
          </w:p>
        </w:tc>
      </w:tr>
      <w:tr>
        <w:trPr>
          <w:trHeight w:val="241"/>
        </w:trPr>
        <w:tc>
          <w:tcPr>
            <w:tcW w:w="4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319,033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343,431</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ind w:left="940" w:hanging="306"/>
        <w:spacing w:after="0" w:line="326" w:lineRule="auto"/>
        <w:tabs>
          <w:tab w:leader="none" w:pos="885"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amortization includes $74,063 and $65,741 relating to in-place lease values, leasing commissions and legal costs at March 31, 2026 and December 31, 2025, respectively. Amortization expense of in-place lease values, leasing commissions and legal costs was $9,973 and $17,641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261"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Deferred Charges and Other Assets, net: (Continued)</w:t>
      </w:r>
    </w:p>
    <w:p>
      <w:pPr>
        <w:spacing w:after="0" w:line="200" w:lineRule="exact"/>
        <w:rPr>
          <w:sz w:val="20"/>
          <w:szCs w:val="20"/>
          <w:color w:val="auto"/>
        </w:rPr>
      </w:pPr>
    </w:p>
    <w:p>
      <w:pPr>
        <w:spacing w:after="0" w:line="3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allocated values of above-market leases and below-market leases consist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gridSpan w:val="3"/>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gridSpan w:val="5"/>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940" w:type="dxa"/>
            <w:vAlign w:val="bottom"/>
          </w:tcPr>
          <w:p>
            <w:pPr>
              <w:spacing w:after="0"/>
              <w:rPr>
                <w:sz w:val="19"/>
                <w:szCs w:val="19"/>
                <w:color w:val="auto"/>
              </w:rPr>
            </w:pPr>
          </w:p>
        </w:tc>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Above-Market Leases</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Original allocated value</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gridSpan w:val="3"/>
          </w:tcPr>
          <w:p>
            <w:pPr>
              <w:jc w:val="right"/>
              <w:ind w:right="47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72,923</w:t>
            </w:r>
          </w:p>
        </w:tc>
        <w:tc>
          <w:tcPr>
            <w:tcW w:w="460" w:type="dxa"/>
            <w:vAlign w:val="bottom"/>
            <w:gridSpan w:val="3"/>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(36,043)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36,880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40" w:type="dxa"/>
            <w:vAlign w:val="bottom"/>
          </w:tcPr>
          <w:p>
            <w:pPr>
              <w:spacing w:after="0"/>
              <w:rPr>
                <w:sz w:val="18"/>
                <w:szCs w:val="18"/>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Below-Market Leases(1)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Original allocated value</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gridSpan w:val="3"/>
          </w:tcPr>
          <w:p>
            <w:pPr>
              <w:jc w:val="right"/>
              <w:ind w:right="47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101,913</w:t>
            </w:r>
          </w:p>
        </w:tc>
        <w:tc>
          <w:tcPr>
            <w:tcW w:w="460" w:type="dxa"/>
            <w:vAlign w:val="bottom"/>
            <w:gridSpan w:val="3"/>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58,477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color w:val="auto"/>
              </w:rPr>
              <w:t>(1)  Below-market leases are included in other accrued liabilities.</w:t>
            </w: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518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10. Mortgage Notes Payable:</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65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Mortgage notes payable at March 31, 2026 and December 31, 2025 consist of the following:</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 of Mortgage Notes(1)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Effective Interest</w:t>
            </w:r>
          </w:p>
        </w:tc>
        <w:tc>
          <w:tcPr>
            <w:tcW w:w="120" w:type="dxa"/>
            <w:vAlign w:val="bottom"/>
          </w:tcPr>
          <w:p>
            <w:pPr>
              <w:spacing w:after="0"/>
              <w:rPr>
                <w:sz w:val="2"/>
                <w:szCs w:val="2"/>
                <w:color w:val="auto"/>
              </w:rPr>
            </w:pPr>
          </w:p>
        </w:tc>
        <w:tc>
          <w:tcPr>
            <w:tcW w:w="1100" w:type="dxa"/>
            <w:vAlign w:val="bottom"/>
            <w:gridSpan w:val="5"/>
            <w:vMerge w:val="restart"/>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Monthly</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11"/>
        </w:trPr>
        <w:tc>
          <w:tcPr>
            <w:tcW w:w="9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2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32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Rate(2)</w:t>
            </w:r>
          </w:p>
        </w:tc>
        <w:tc>
          <w:tcPr>
            <w:tcW w:w="120" w:type="dxa"/>
            <w:vAlign w:val="bottom"/>
          </w:tcPr>
          <w:p>
            <w:pPr>
              <w:spacing w:after="0"/>
              <w:rPr>
                <w:sz w:val="16"/>
                <w:szCs w:val="16"/>
                <w:color w:val="auto"/>
              </w:rPr>
            </w:pPr>
          </w:p>
        </w:tc>
        <w:tc>
          <w:tcPr>
            <w:tcW w:w="11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Date(4)</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Arrowhead Towne Center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352,943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352,776</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6.75 %</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1,921</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2028</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Crabtree Mall(5)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155,861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155,793</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6.63 %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2029</w:t>
            </w:r>
          </w:p>
        </w:tc>
        <w:tc>
          <w:tcPr>
            <w:tcW w:w="0" w:type="dxa"/>
            <w:vAlign w:val="bottom"/>
          </w:tcPr>
          <w:p>
            <w:pPr>
              <w:spacing w:after="0"/>
              <w:rPr>
                <w:sz w:val="1"/>
                <w:szCs w:val="1"/>
                <w:color w:val="auto"/>
              </w:rPr>
            </w:pPr>
          </w:p>
        </w:tc>
      </w:tr>
      <w:tr>
        <w:trPr>
          <w:trHeight w:val="22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Danbury Fair Mall</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152,455</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2034</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Fashion Outlets of Chicago</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299,576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299,554</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4.61 %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9"/>
              </w:rPr>
              <w:t>1,145</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2031</w:t>
            </w:r>
          </w:p>
        </w:tc>
        <w:tc>
          <w:tcPr>
            <w:tcW w:w="0" w:type="dxa"/>
            <w:vAlign w:val="bottom"/>
          </w:tcPr>
          <w:p>
            <w:pPr>
              <w:spacing w:after="0"/>
              <w:rPr>
                <w:sz w:val="1"/>
                <w:szCs w:val="1"/>
                <w:color w:val="auto"/>
              </w:rPr>
            </w:pPr>
          </w:p>
        </w:tc>
      </w:tr>
      <w:tr>
        <w:trPr>
          <w:trHeight w:val="22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Fashion Outlets of Niagara Falls USA</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76,995</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Freehold Raceway Mall</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399,418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399,376</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3.94 %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9"/>
              </w:rPr>
              <w:t>1,300</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2029</w:t>
            </w:r>
          </w:p>
        </w:tc>
        <w:tc>
          <w:tcPr>
            <w:tcW w:w="0" w:type="dxa"/>
            <w:vAlign w:val="bottom"/>
          </w:tcPr>
          <w:p>
            <w:pPr>
              <w:spacing w:after="0"/>
              <w:rPr>
                <w:sz w:val="1"/>
                <w:szCs w:val="1"/>
                <w:color w:val="auto"/>
              </w:rPr>
            </w:pPr>
          </w:p>
        </w:tc>
      </w:tr>
      <w:tr>
        <w:trPr>
          <w:trHeight w:val="22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Fresno Fashion Fair</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324,901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324,851</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Green Acres Mall</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365,303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364,632</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6.62 %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9"/>
              </w:rPr>
              <w:t>1,819</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2028</w:t>
            </w:r>
          </w:p>
        </w:tc>
        <w:tc>
          <w:tcPr>
            <w:tcW w:w="0" w:type="dxa"/>
            <w:vAlign w:val="bottom"/>
          </w:tcPr>
          <w:p>
            <w:pPr>
              <w:spacing w:after="0"/>
              <w:rPr>
                <w:sz w:val="1"/>
                <w:szCs w:val="1"/>
                <w:color w:val="auto"/>
              </w:rPr>
            </w:pPr>
          </w:p>
        </w:tc>
      </w:tr>
      <w:tr>
        <w:trPr>
          <w:trHeight w:val="22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Kings Plaza Shopping Center</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526,448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528,906</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2,414</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2030</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 Cerritos Center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464,983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465,727</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5.77 %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9"/>
              </w:rPr>
              <w:t>2,506</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2027</w:t>
            </w:r>
          </w:p>
        </w:tc>
        <w:tc>
          <w:tcPr>
            <w:tcW w:w="0" w:type="dxa"/>
            <w:vAlign w:val="bottom"/>
          </w:tcPr>
          <w:p>
            <w:pPr>
              <w:spacing w:after="0"/>
              <w:rPr>
                <w:sz w:val="1"/>
                <w:szCs w:val="1"/>
                <w:color w:val="auto"/>
              </w:rPr>
            </w:pPr>
          </w:p>
        </w:tc>
      </w:tr>
      <w:tr>
        <w:trPr>
          <w:trHeight w:val="22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Pacific View</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69,691</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2032</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Queens Center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523,454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523,346</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5.45 %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9"/>
              </w:rPr>
              <w:t>2,349</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2029</w:t>
            </w:r>
          </w:p>
        </w:tc>
        <w:tc>
          <w:tcPr>
            <w:tcW w:w="0" w:type="dxa"/>
            <w:vAlign w:val="bottom"/>
          </w:tcPr>
          <w:p>
            <w:pPr>
              <w:spacing w:after="0"/>
              <w:rPr>
                <w:sz w:val="1"/>
                <w:szCs w:val="1"/>
                <w:color w:val="auto"/>
              </w:rPr>
            </w:pPr>
          </w:p>
        </w:tc>
      </w:tr>
      <w:tr>
        <w:trPr>
          <w:trHeight w:val="22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Santa Monica Place(6)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1,298</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SanTan Village Regional Center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219,707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219,687</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4.34 %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2029</w:t>
            </w:r>
          </w:p>
        </w:tc>
        <w:tc>
          <w:tcPr>
            <w:tcW w:w="0" w:type="dxa"/>
            <w:vAlign w:val="bottom"/>
          </w:tcPr>
          <w:p>
            <w:pPr>
              <w:spacing w:after="0"/>
              <w:rPr>
                <w:sz w:val="1"/>
                <w:szCs w:val="1"/>
                <w:color w:val="auto"/>
              </w:rPr>
            </w:pPr>
          </w:p>
        </w:tc>
      </w:tr>
      <w:tr>
        <w:trPr>
          <w:trHeight w:val="22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South Plains Mall(7)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197,579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2029</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Victor Valley, Mall of</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84,033</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6.85 %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2034</w:t>
            </w:r>
          </w:p>
        </w:tc>
        <w:tc>
          <w:tcPr>
            <w:tcW w:w="0" w:type="dxa"/>
            <w:vAlign w:val="bottom"/>
          </w:tcPr>
          <w:p>
            <w:pPr>
              <w:spacing w:after="0"/>
              <w:rPr>
                <w:sz w:val="1"/>
                <w:szCs w:val="1"/>
                <w:color w:val="auto"/>
              </w:rPr>
            </w:pPr>
          </w:p>
        </w:tc>
      </w:tr>
      <w:tr>
        <w:trPr>
          <w:trHeight w:val="22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Vintage Faire Mall(8)</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Washington Square(9)</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338,318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338,396</w:t>
            </w:r>
          </w:p>
        </w:tc>
        <w:tc>
          <w:tcPr>
            <w:tcW w:w="12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7"/>
                <w:szCs w:val="17"/>
                <w:color w:val="auto"/>
              </w:rPr>
              <w:t>5.63 %</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7"/>
                <w:szCs w:val="17"/>
                <w:color w:val="auto"/>
                <w:w w:val="99"/>
              </w:rPr>
              <w:t>1,580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2035</w:t>
            </w:r>
          </w:p>
        </w:tc>
        <w:tc>
          <w:tcPr>
            <w:tcW w:w="0" w:type="dxa"/>
            <w:vAlign w:val="bottom"/>
          </w:tcPr>
          <w:p>
            <w:pPr>
              <w:spacing w:after="0"/>
              <w:rPr>
                <w:sz w:val="1"/>
                <w:szCs w:val="1"/>
                <w:color w:val="auto"/>
              </w:rPr>
            </w:pPr>
          </w:p>
        </w:tc>
      </w:tr>
      <w:tr>
        <w:trPr>
          <w:trHeight w:val="241"/>
        </w:trPr>
        <w:tc>
          <w:tcPr>
            <w:tcW w:w="94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4,850,655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5,068,946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both"/>
        <w:ind w:left="800" w:hanging="402"/>
        <w:spacing w:after="0" w:line="260" w:lineRule="auto"/>
        <w:tabs>
          <w:tab w:leader="none" w:pos="79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balances include the unamortized debt discounts. Debt discounts represent the deficiency of the fair value of debt under the principal value of debt assumed in various acquisitions. The debt discounts are being amortized into interest expense over the term of the related debt in a manner which approximates the effective interest method. The debt discounts as of March 31, 2026 and December 31, 2025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261"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Mortgage Notes Payable: (Continued)</w:t>
      </w:r>
    </w:p>
    <w:p>
      <w:pPr>
        <w:spacing w:after="0" w:line="200" w:lineRule="exact"/>
        <w:rPr>
          <w:sz w:val="20"/>
          <w:szCs w:val="20"/>
          <w:color w:val="auto"/>
        </w:rPr>
      </w:pPr>
    </w:p>
    <w:p>
      <w:pPr>
        <w:spacing w:after="0" w:line="331"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6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22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5"/>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Arrowhead Towne Center</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16,676</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18,851</w:t>
            </w:r>
          </w:p>
        </w:tc>
        <w:tc>
          <w:tcPr>
            <w:tcW w:w="0" w:type="dxa"/>
            <w:vAlign w:val="bottom"/>
          </w:tcPr>
          <w:p>
            <w:pPr>
              <w:spacing w:after="0"/>
              <w:rPr>
                <w:sz w:val="1"/>
                <w:szCs w:val="1"/>
                <w:color w:val="auto"/>
              </w:rPr>
            </w:pPr>
          </w:p>
        </w:tc>
      </w:tr>
      <w:tr>
        <w:trPr>
          <w:trHeight w:val="190"/>
        </w:trPr>
        <w:tc>
          <w:tcPr>
            <w:tcW w:w="6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Los Cerritos Center</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14,573</w:t>
            </w:r>
          </w:p>
        </w:tc>
        <w:tc>
          <w:tcPr>
            <w:tcW w:w="0" w:type="dxa"/>
            <w:vAlign w:val="bottom"/>
          </w:tcPr>
          <w:p>
            <w:pPr>
              <w:spacing w:after="0"/>
              <w:rPr>
                <w:sz w:val="1"/>
                <w:szCs w:val="1"/>
                <w:color w:val="auto"/>
              </w:rPr>
            </w:pPr>
          </w:p>
        </w:tc>
      </w:tr>
      <w:tr>
        <w:trPr>
          <w:trHeight w:val="222"/>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33,424</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ind w:left="800" w:right="640" w:hanging="78"/>
        <w:spacing w:after="0" w:line="286" w:lineRule="auto"/>
        <w:rPr>
          <w:sz w:val="20"/>
          <w:szCs w:val="20"/>
          <w:color w:val="auto"/>
        </w:rPr>
      </w:pPr>
      <w:r>
        <w:rPr>
          <w:rFonts w:ascii="Times New Roman" w:cs="Times New Roman" w:eastAsia="Times New Roman" w:hAnsi="Times New Roman"/>
          <w:sz w:val="14"/>
          <w:szCs w:val="14"/>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$21,350 and $20,274 at March 31, 2026 and December 31, 2025, respectively.</w:t>
      </w:r>
    </w:p>
    <w:p>
      <w:pPr>
        <w:spacing w:after="0" w:line="102" w:lineRule="exact"/>
        <w:rPr>
          <w:sz w:val="20"/>
          <w:szCs w:val="20"/>
          <w:color w:val="auto"/>
        </w:rPr>
      </w:pPr>
    </w:p>
    <w:p>
      <w:pPr>
        <w:ind w:left="780" w:hanging="382"/>
        <w:spacing w:after="0"/>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impact of debt discounts and deferred finance costs.</w:t>
      </w:r>
    </w:p>
    <w:p>
      <w:pPr>
        <w:spacing w:after="0" w:line="140" w:lineRule="exact"/>
        <w:rPr>
          <w:rFonts w:ascii="Times New Roman" w:cs="Times New Roman" w:eastAsia="Times New Roman" w:hAnsi="Times New Roman"/>
          <w:sz w:val="14"/>
          <w:szCs w:val="14"/>
          <w:color w:val="auto"/>
        </w:rPr>
      </w:pPr>
    </w:p>
    <w:p>
      <w:pPr>
        <w:ind w:left="780" w:hanging="382"/>
        <w:spacing w:after="0"/>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monthly debt service represents the payment of principal and interest.</w:t>
      </w:r>
    </w:p>
    <w:p>
      <w:pPr>
        <w:spacing w:after="0" w:line="140" w:lineRule="exact"/>
        <w:rPr>
          <w:rFonts w:ascii="Times New Roman" w:cs="Times New Roman" w:eastAsia="Times New Roman" w:hAnsi="Times New Roman"/>
          <w:sz w:val="14"/>
          <w:szCs w:val="14"/>
          <w:color w:val="auto"/>
        </w:rPr>
      </w:pPr>
    </w:p>
    <w:p>
      <w:pPr>
        <w:ind w:left="800" w:right="220" w:hanging="402"/>
        <w:spacing w:after="0" w:line="286" w:lineRule="auto"/>
        <w:tabs>
          <w:tab w:leader="none" w:pos="7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101" w:lineRule="exact"/>
        <w:rPr>
          <w:rFonts w:ascii="Times New Roman" w:cs="Times New Roman" w:eastAsia="Times New Roman" w:hAnsi="Times New Roman"/>
          <w:sz w:val="14"/>
          <w:szCs w:val="14"/>
          <w:color w:val="auto"/>
        </w:rPr>
      </w:pPr>
    </w:p>
    <w:p>
      <w:pPr>
        <w:ind w:left="800" w:right="140" w:hanging="402"/>
        <w:spacing w:after="0" w:line="284" w:lineRule="auto"/>
        <w:tabs>
          <w:tab w:leader="none" w:pos="792"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August 7, 2025, the Company closed on an initial $159,100 two-year term loan with two one-year extension options on Crabtree Mall. The term loan also allows for additional requested advances of up to $51,180 based on defined conditions for capital expenditures and leasing costs for a maximum total term loan of $210,280. The term loan bears interest at a rate of SOFR plus 2.50%. The Company has purchased a SOFR interest rate cap for the initial term loan advance with a strike rate of 5.0% for the two-year base term of the term loan. The Company used a portion of the net proceeds from this term loan to fully repay borrowings outstanding on the Company's revolving credit facility (See Note 14—Acquisitions).</w:t>
      </w:r>
    </w:p>
    <w:p>
      <w:pPr>
        <w:spacing w:after="0" w:line="105" w:lineRule="exact"/>
        <w:rPr>
          <w:rFonts w:ascii="Times New Roman" w:cs="Times New Roman" w:eastAsia="Times New Roman" w:hAnsi="Times New Roman"/>
          <w:sz w:val="13"/>
          <w:szCs w:val="13"/>
          <w:color w:val="auto"/>
        </w:rPr>
      </w:pPr>
    </w:p>
    <w:p>
      <w:pPr>
        <w:ind w:left="800" w:right="20" w:hanging="402"/>
        <w:spacing w:after="0" w:line="257" w:lineRule="auto"/>
        <w:tabs>
          <w:tab w:leader="none" w:pos="7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April 9, 2024, the loan is in default and accrues incremental default interest of 4%. On March 18, 2025, a court appointed receiver assumed operational control and managerial responsibility for Santa Monica Place. The Company anticipates the disposition of the asset, which is under the control of the receiver, will be executed through foreclosure, deed-in-lieu of foreclosure, or by some other means, and is expected to be completed in the near future. Although the Company is no longer funding any cash shortfall, it will continue to record the operations of the property until the title for the Center is transferred and its obligation for the loan is discharged. Once title to the property is transferred, the Company will remove the net assets and liabilities from the Company's consolidated balance sheets. The loan is non-recourse to the Company.</w:t>
      </w:r>
    </w:p>
    <w:p>
      <w:pPr>
        <w:spacing w:after="0" w:line="108" w:lineRule="exact"/>
        <w:rPr>
          <w:rFonts w:ascii="Times New Roman" w:cs="Times New Roman" w:eastAsia="Times New Roman" w:hAnsi="Times New Roman"/>
          <w:sz w:val="14"/>
          <w:szCs w:val="14"/>
          <w:color w:val="auto"/>
        </w:rPr>
      </w:pPr>
    </w:p>
    <w:p>
      <w:pPr>
        <w:ind w:left="800" w:right="80" w:hanging="402"/>
        <w:spacing w:after="0" w:line="286" w:lineRule="auto"/>
        <w:tabs>
          <w:tab w:leader="none" w:pos="7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November 6, 2025, the loan was in default and accrued incremental default interest of 4%. On February 6, 2026, the Company extended the loan maturity on the $200,000 loan to November 6, 2029, at the existing rate of 4.22%.</w:t>
      </w:r>
    </w:p>
    <w:p>
      <w:pPr>
        <w:spacing w:after="0" w:line="88" w:lineRule="exact"/>
        <w:rPr>
          <w:rFonts w:ascii="Times New Roman" w:cs="Times New Roman" w:eastAsia="Times New Roman" w:hAnsi="Times New Roman"/>
          <w:sz w:val="14"/>
          <w:szCs w:val="14"/>
          <w:color w:val="auto"/>
        </w:rPr>
      </w:pPr>
    </w:p>
    <w:p>
      <w:pPr>
        <w:ind w:left="800" w:hanging="402"/>
        <w:spacing w:after="0" w:line="286" w:lineRule="auto"/>
        <w:tabs>
          <w:tab w:leader="none" w:pos="7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6, 2026, the Company repaid the outstanding loan balance of $211,507 on Vintage Faire Mall at maturity with cash on hand and $100,000 of borrowings on the revolving credit facility.</w:t>
      </w:r>
    </w:p>
    <w:p>
      <w:pPr>
        <w:spacing w:after="0" w:line="101" w:lineRule="exact"/>
        <w:rPr>
          <w:rFonts w:ascii="Times New Roman" w:cs="Times New Roman" w:eastAsia="Times New Roman" w:hAnsi="Times New Roman"/>
          <w:sz w:val="14"/>
          <w:szCs w:val="14"/>
          <w:color w:val="auto"/>
        </w:rPr>
      </w:pPr>
    </w:p>
    <w:p>
      <w:pPr>
        <w:ind w:left="800" w:right="40" w:hanging="402"/>
        <w:spacing w:after="0" w:line="266" w:lineRule="auto"/>
        <w:tabs>
          <w:tab w:leader="none" w:pos="7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27, 2025, the Company closed a $340,000, ten-year loan on Washington Square, which matures on April 6, 2035. The loan bears interest at a fixed rate of 5.58% and is interest only during the entire loan term.</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Most of the mortgage loan agreements contain a prepayment penalty provision for the early extinguishment of the debt.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Company's mortgage notes payable are secured by the properties on which they are placed and are non-recourse to the Company.</w:t>
      </w:r>
    </w:p>
    <w:p>
      <w:pPr>
        <w:spacing w:after="0" w:line="145" w:lineRule="exact"/>
        <w:rPr>
          <w:sz w:val="20"/>
          <w:szCs w:val="20"/>
          <w:color w:val="auto"/>
        </w:rPr>
      </w:pPr>
    </w:p>
    <w:p>
      <w:pPr>
        <w:ind w:right="780" w:firstLine="433"/>
        <w:spacing w:after="0" w:line="297" w:lineRule="auto"/>
        <w:rPr>
          <w:sz w:val="20"/>
          <w:szCs w:val="20"/>
          <w:color w:val="auto"/>
        </w:rPr>
      </w:pPr>
      <w:r>
        <w:rPr>
          <w:rFonts w:ascii="Times New Roman" w:cs="Times New Roman" w:eastAsia="Times New Roman" w:hAnsi="Times New Roman"/>
          <w:sz w:val="17"/>
          <w:szCs w:val="17"/>
          <w:color w:val="auto"/>
        </w:rPr>
        <w:t>The Company expects that all loan maturities during the next twelve months will be refinanced, restructured, extended and/or paid off from the Company's line of credit or with cash on hand, with the exception of Santa Monica Place as noted above.</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interest expense capitalized was $3,485 and $4,769 for the three months ended March 31, 2026 and 2025, respectively.</w:t>
      </w:r>
    </w:p>
    <w:p>
      <w:pPr>
        <w:spacing w:after="0" w:line="159" w:lineRule="exact"/>
        <w:rPr>
          <w:sz w:val="20"/>
          <w:szCs w:val="20"/>
          <w:color w:val="auto"/>
        </w:rPr>
      </w:pPr>
    </w:p>
    <w:p>
      <w:pPr>
        <w:ind w:right="180" w:firstLine="433"/>
        <w:spacing w:after="0" w:line="277" w:lineRule="auto"/>
        <w:rPr>
          <w:sz w:val="20"/>
          <w:szCs w:val="20"/>
          <w:color w:val="auto"/>
        </w:rPr>
      </w:pPr>
      <w:r>
        <w:rPr>
          <w:rFonts w:ascii="Times New Roman" w:cs="Times New Roman" w:eastAsia="Times New Roman" w:hAnsi="Times New Roman"/>
          <w:sz w:val="17"/>
          <w:szCs w:val="17"/>
          <w:color w:val="auto"/>
        </w:rPr>
        <w:t>The estimated fair value (Level 2 measurement) of mortgage notes payable at March 31, 2026 and December 31, 2025 was $4,865,940 and $4,982,754,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1" w:right="35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Bank and Other Notes Payable: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and other notes payable consist of the following:</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Credit Facility:</w:t>
      </w:r>
    </w:p>
    <w:p>
      <w:pPr>
        <w:spacing w:after="0" w:line="147" w:lineRule="exact"/>
        <w:rPr>
          <w:sz w:val="20"/>
          <w:szCs w:val="20"/>
          <w:color w:val="auto"/>
        </w:rPr>
      </w:pPr>
    </w:p>
    <w:p>
      <w:pPr>
        <w:ind w:right="20" w:firstLine="433"/>
        <w:spacing w:after="0" w:line="263" w:lineRule="auto"/>
        <w:rPr>
          <w:sz w:val="20"/>
          <w:szCs w:val="20"/>
          <w:color w:val="auto"/>
        </w:rPr>
      </w:pPr>
      <w:r>
        <w:rPr>
          <w:rFonts w:ascii="Times New Roman" w:cs="Times New Roman" w:eastAsia="Times New Roman" w:hAnsi="Times New Roman"/>
          <w:sz w:val="17"/>
          <w:szCs w:val="17"/>
          <w:color w:val="auto"/>
        </w:rPr>
        <w:t>Previously, the Company had a $650,000 revolving credit facility, which was scheduled to mature on February 1, 2027. On February 24, 2026, the Company entered into an amended and restated credit agreement (the "Credit Agreement"), which amended and restated the prior credit agreement and provides for an aggregate $900,000 revolving credit facility that matures on March 1, 2029, with an option for the Company to extend maturity until March 1, 2030. The Company has the ability from time to time to increase the size of the revolving credit facility up to an aggregate amount of $1,100,000, subject to the receipt of lender commitments and other conditions. Loans made under the Credit Agreement bear interest, at the Company’s election, at either the Base Rate (as defined in the Credit Agreement) or Term SOFR (as defined in the Credit Agreement) plus, in both cases, an applicable margin. The current applicable margin depends on the Company’s overall debt yield and ranges from 0.80% to 2.20% over the selected index rate. Upon the achievement of certain performance thresholds, the applicable margin will depend on the Company’s overall net debt to EBITDA ratio and will be in a range of 0.35% to 1.65% over the selected index rate.</w:t>
      </w:r>
    </w:p>
    <w:p>
      <w:pPr>
        <w:spacing w:after="0" w:line="109"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As of March 31, 2026, the borrowing rate was SOFR plus a spread of 1.90%. As of March 31, 2026, borrowings under the revolving credit facility were $100,000 less unamortized deferred finance costs of $18,037 for the revolving credit facility at a total effective interest rate of 6.16%. As of March 31, 2026, the Company’s availability under the revolving credit facility for additional borrowings was $799,409. The estimated fair value (Level 2 measurement) of borrowings under the revolving credit facility at March 31, 2026 was $99,772 for the revolving credit facility based on a present value model using a credit interest rate spread offered to the Company for comparable debt.</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March 31, 2026 and December 31, 2025, the Company was in compliance with all applicable financial loan covenants.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Noncontrolling Interests:</w:t>
      </w:r>
    </w:p>
    <w:p>
      <w:pPr>
        <w:spacing w:after="0" w:line="161" w:lineRule="exact"/>
        <w:rPr>
          <w:sz w:val="20"/>
          <w:szCs w:val="20"/>
          <w:color w:val="auto"/>
        </w:rPr>
      </w:pPr>
    </w:p>
    <w:p>
      <w:pPr>
        <w:ind w:right="60" w:firstLine="433"/>
        <w:spacing w:after="0" w:line="262" w:lineRule="auto"/>
        <w:rPr>
          <w:sz w:val="20"/>
          <w:szCs w:val="20"/>
          <w:color w:val="auto"/>
        </w:rPr>
      </w:pPr>
      <w:r>
        <w:rPr>
          <w:rFonts w:ascii="Times New Roman" w:cs="Times New Roman" w:eastAsia="Times New Roman" w:hAnsi="Times New Roman"/>
          <w:sz w:val="17"/>
          <w:szCs w:val="17"/>
          <w:color w:val="auto"/>
        </w:rPr>
        <w:t>The Company allocates net loss of the Operating Partnership based on the weighted average ownership interest during the period. The net loss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96% ownership interest in the Operating Partnership as of March 31, 2026 and December 31, 2025. The remaining 4% limited partnership interest as of March 31, 2026 and December 31, 2025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March 31, 2026 and December 31, 2025, the aggregate redemption value of the then-outstanding OP Units not owned by the Company was $210,628 and $216,826, respectively.</w:t>
      </w:r>
    </w:p>
    <w:p>
      <w:pPr>
        <w:spacing w:after="0" w:line="112" w:lineRule="exact"/>
        <w:rPr>
          <w:sz w:val="20"/>
          <w:szCs w:val="20"/>
          <w:color w:val="auto"/>
        </w:rPr>
      </w:pPr>
    </w:p>
    <w:p>
      <w:pPr>
        <w:ind w:right="60" w:firstLine="433"/>
        <w:spacing w:after="0" w:line="277" w:lineRule="auto"/>
        <w:rPr>
          <w:sz w:val="20"/>
          <w:szCs w:val="20"/>
          <w:color w:val="auto"/>
        </w:rPr>
      </w:pPr>
      <w:r>
        <w:rPr>
          <w:rFonts w:ascii="Times New Roman" w:cs="Times New Roman" w:eastAsia="Times New Roman" w:hAnsi="Times New Roman"/>
          <w:sz w:val="17"/>
          <w:szCs w:val="17"/>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84"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Stockholders' Equity:</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Stock Offerings</w:t>
      </w:r>
    </w:p>
    <w:p>
      <w:pPr>
        <w:spacing w:after="0" w:line="161" w:lineRule="exact"/>
        <w:rPr>
          <w:sz w:val="20"/>
          <w:szCs w:val="20"/>
          <w:color w:val="auto"/>
        </w:rPr>
      </w:pPr>
    </w:p>
    <w:p>
      <w:pPr>
        <w:ind w:right="40" w:firstLine="433"/>
        <w:spacing w:after="0" w:line="261" w:lineRule="auto"/>
        <w:rPr>
          <w:sz w:val="20"/>
          <w:szCs w:val="20"/>
          <w:color w:val="auto"/>
        </w:rPr>
      </w:pPr>
      <w:r>
        <w:rPr>
          <w:rFonts w:ascii="Times New Roman" w:cs="Times New Roman" w:eastAsia="Times New Roman" w:hAnsi="Times New Roman"/>
          <w:sz w:val="17"/>
          <w:szCs w:val="17"/>
          <w:color w:val="auto"/>
        </w:rPr>
        <w:t>In connection with the commencement of an “at the market” offering program on November 12, 2024, which is referred to as the “2024 ATM Program,” the Company entered into an equity distribution agreement with certain sales agents pursuant to which the Company may issue and sell shares of its common stock having an aggregate offering price of up to $500,000 under the 2024 ATM Program. During the three months ended March 31, 2026, the Company issued 3,252,163 shares of common stock under the 2024 ATM Program for aggregate gross proceeds of $61,777 and net proceeds of $60,541 after commissions and other transaction costs. In addition, the Company sold 265,037 additional shares of common stock under the 2024 ATM Program on March 31, 2026 for aggregate gross proceeds of $5,036 and net proceeds of $4,935 after commissions, of which the shares settled and the proceeds were received on April 1, 2026. As of March 31, 2026, $307,288 remained available to be sold under the 2024 ATM Program. Subsequent to the quarter ending March 31, 2026, the Company sold 940,002 shares of common stock for aggregate gross proceeds of $18,788 and net proceeds of $18,281 after commissions. Actual future sales will depend upon a variety of factors including, but not limited to, market conditions, the trading price of the Company’s common stock and the Company’s capital needs. The Company has no obligation to sell the remaining shares available for sale under the 2024 ATM Program.</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Stock Buyback Program</w:t>
      </w:r>
    </w:p>
    <w:p>
      <w:pPr>
        <w:spacing w:after="0" w:line="161" w:lineRule="exact"/>
        <w:rPr>
          <w:sz w:val="20"/>
          <w:szCs w:val="20"/>
          <w:color w:val="auto"/>
        </w:rPr>
      </w:pPr>
    </w:p>
    <w:p>
      <w:pPr>
        <w:ind w:right="180" w:firstLine="433"/>
        <w:spacing w:after="0" w:line="270" w:lineRule="auto"/>
        <w:rPr>
          <w:sz w:val="20"/>
          <w:szCs w:val="20"/>
          <w:color w:val="auto"/>
        </w:rPr>
      </w:pPr>
      <w:r>
        <w:rPr>
          <w:rFonts w:ascii="Times New Roman" w:cs="Times New Roman" w:eastAsia="Times New Roman" w:hAnsi="Times New Roman"/>
          <w:sz w:val="17"/>
          <w:szCs w:val="17"/>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accelerated share repurchase transactions, or other methods of acquiring shares, from time to time as permitted by securities laws and other legal requirements. The program is referred to herein as the "Stock Buyback Program".</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There were no repurchases under the Stock Buyback Program during the three months ended March 31, 2026 or 2025.</w:t>
      </w:r>
    </w:p>
    <w:p>
      <w:pPr>
        <w:spacing w:after="0" w:line="143" w:lineRule="exact"/>
        <w:rPr>
          <w:sz w:val="20"/>
          <w:szCs w:val="20"/>
          <w:color w:val="auto"/>
        </w:rPr>
      </w:pPr>
    </w:p>
    <w:p>
      <w:pPr>
        <w:ind w:left="440" w:right="9720" w:hanging="435"/>
        <w:spacing w:after="0" w:line="435" w:lineRule="auto"/>
        <w:tabs>
          <w:tab w:leader="none" w:pos="347"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w:t>
      </w:r>
      <w:r>
        <w:rPr>
          <w:rFonts w:ascii="Times New Roman" w:cs="Times New Roman" w:eastAsia="Times New Roman" w:hAnsi="Times New Roman"/>
          <w:sz w:val="17"/>
          <w:szCs w:val="17"/>
          <w:i w:val="1"/>
          <w:iCs w:val="1"/>
          <w:color w:val="auto"/>
        </w:rPr>
        <w:t>Crabtree Mall:</w:t>
      </w:r>
    </w:p>
    <w:p>
      <w:pPr>
        <w:spacing w:after="0" w:line="1"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On June 23, 2025, the Company acquired Crabtree Mall, a regional retail center totaling approximately 1.3 million square feet in Raleigh, North Carolina, for a total purchase price of $290,000, excluding transaction costs and credits received at closing. The acquisition was initially funded with cash on hand and $100,000 of borrowings on the Company's credit facility.</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is a summary of the allocation of the fair value of Crabtree Mall, exclusive of closing costs and credits received:</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252,011</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charges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38,446</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8,666</w:t>
            </w:r>
          </w:p>
        </w:tc>
      </w:tr>
      <w:tr>
        <w:trPr>
          <w:trHeight w:val="216"/>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assets acquired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299,123</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9,123</w:t>
            </w:r>
          </w:p>
        </w:tc>
      </w:tr>
      <w:tr>
        <w:trPr>
          <w:trHeight w:val="216"/>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9,123</w:t>
            </w:r>
          </w:p>
        </w:tc>
      </w:tr>
      <w:tr>
        <w:trPr>
          <w:trHeight w:val="241"/>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acquired net assets (at 100% ownership)</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290,000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14. Acquisitions: (Continued)</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54"/>
        </w:trPr>
        <w:tc>
          <w:tcPr>
            <w:tcW w:w="82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The following is a reconciliation of the allocation of the fair value of acquired net assets to total cash paid:</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3"/>
        </w:trPr>
        <w:tc>
          <w:tcPr>
            <w:tcW w:w="4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acquired net assets (at 100% ownership)</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290,000</w:t>
            </w:r>
          </w:p>
        </w:tc>
      </w:tr>
      <w:tr>
        <w:trPr>
          <w:trHeight w:val="223"/>
        </w:trPr>
        <w:tc>
          <w:tcPr>
            <w:tcW w:w="4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Credits received at closing</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(24,612)</w:t>
            </w:r>
          </w:p>
        </w:tc>
      </w:tr>
      <w:tr>
        <w:trPr>
          <w:trHeight w:val="223"/>
        </w:trPr>
        <w:tc>
          <w:tcPr>
            <w:tcW w:w="4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Closing and other transaction costs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w:t>
            </w:r>
          </w:p>
        </w:tc>
      </w:tr>
      <w:tr>
        <w:trPr>
          <w:trHeight w:val="216"/>
        </w:trPr>
        <w:tc>
          <w:tcPr>
            <w:tcW w:w="440" w:type="dxa"/>
            <w:vAlign w:val="bottom"/>
          </w:tcPr>
          <w:p>
            <w:pPr>
              <w:spacing w:after="0"/>
              <w:rPr>
                <w:sz w:val="18"/>
                <w:szCs w:val="18"/>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cash paid</w:t>
            </w: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266,926</w:t>
            </w:r>
          </w:p>
        </w:tc>
      </w:tr>
      <w:tr>
        <w:trPr>
          <w:trHeight w:val="20"/>
        </w:trPr>
        <w:tc>
          <w:tcPr>
            <w:tcW w:w="4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Dispositions:</w:t>
      </w:r>
    </w:p>
    <w:p>
      <w:pPr>
        <w:spacing w:after="0" w:line="147" w:lineRule="exact"/>
        <w:rPr>
          <w:sz w:val="20"/>
          <w:szCs w:val="20"/>
          <w:color w:val="auto"/>
        </w:rPr>
      </w:pPr>
    </w:p>
    <w:p>
      <w:pPr>
        <w:ind w:right="440" w:firstLine="433"/>
        <w:spacing w:after="0" w:line="265" w:lineRule="auto"/>
        <w:rPr>
          <w:sz w:val="20"/>
          <w:szCs w:val="20"/>
          <w:color w:val="auto"/>
        </w:rPr>
      </w:pPr>
      <w:r>
        <w:rPr>
          <w:rFonts w:ascii="Times New Roman" w:cs="Times New Roman" w:eastAsia="Times New Roman" w:hAnsi="Times New Roman"/>
          <w:sz w:val="17"/>
          <w:szCs w:val="17"/>
          <w:color w:val="auto"/>
        </w:rPr>
        <w:t>On March 27, 2025, the Company sold Wilton Mall, a 740,000 square foot regional retail center in Saratoga Springs, New York, for $24,800, which resulted in a loss on sale or write down of assets of $2,932. The Company used the net proceeds to pay down debt.</w:t>
      </w:r>
    </w:p>
    <w:p>
      <w:pPr>
        <w:spacing w:after="0" w:line="80" w:lineRule="exact"/>
        <w:rPr>
          <w:sz w:val="20"/>
          <w:szCs w:val="20"/>
          <w:color w:val="auto"/>
        </w:rPr>
      </w:pPr>
    </w:p>
    <w:p>
      <w:pPr>
        <w:jc w:val="both"/>
        <w:ind w:right="80" w:firstLine="433"/>
        <w:spacing w:after="0" w:line="245" w:lineRule="auto"/>
        <w:rPr>
          <w:sz w:val="20"/>
          <w:szCs w:val="20"/>
          <w:color w:val="auto"/>
        </w:rPr>
      </w:pPr>
      <w:r>
        <w:rPr>
          <w:rFonts w:ascii="Times New Roman" w:cs="Times New Roman" w:eastAsia="Times New Roman" w:hAnsi="Times New Roman"/>
          <w:sz w:val="17"/>
          <w:szCs w:val="17"/>
          <w:color w:val="auto"/>
        </w:rPr>
        <w:t>On April 16, 2025, the Company sold a parcel at SanTan Adjacent in Gilbert, Arizona for $3,000, which resulted in a loss on sale or write down of assets of $247. On April 28, 2025, the Company sold various parcels at SanTan Adjacent in Gilbert, Arizona for $24,500, which resulted in a gain on sale of assets of $108. The Company used the proceeds from these sales to pay down debt and for other general corporate purposes.</w:t>
      </w:r>
    </w:p>
    <w:p>
      <w:pPr>
        <w:spacing w:after="0" w:line="96" w:lineRule="exact"/>
        <w:rPr>
          <w:sz w:val="20"/>
          <w:szCs w:val="20"/>
          <w:color w:val="auto"/>
        </w:rPr>
      </w:pPr>
    </w:p>
    <w:p>
      <w:pPr>
        <w:ind w:right="200" w:firstLine="433"/>
        <w:spacing w:after="0" w:line="265" w:lineRule="auto"/>
        <w:rPr>
          <w:sz w:val="20"/>
          <w:szCs w:val="20"/>
          <w:color w:val="auto"/>
        </w:rPr>
      </w:pPr>
      <w:r>
        <w:rPr>
          <w:rFonts w:ascii="Times New Roman" w:cs="Times New Roman" w:eastAsia="Times New Roman" w:hAnsi="Times New Roman"/>
          <w:sz w:val="17"/>
          <w:szCs w:val="17"/>
          <w:color w:val="auto"/>
        </w:rPr>
        <w:t>On April 30, 2025, the Company sold SouthPark Mall, an 802,000 square foot regional retail center in Moline, Illinois, for $10,500, which resulted in a loss on sale or write down of assets of $4,267. The Company used the net proceeds for general corporate purposes. This asset was unencumbered.</w:t>
      </w:r>
    </w:p>
    <w:p>
      <w:pPr>
        <w:spacing w:after="0" w:line="80" w:lineRule="exact"/>
        <w:rPr>
          <w:sz w:val="20"/>
          <w:szCs w:val="20"/>
          <w:color w:val="auto"/>
        </w:rPr>
      </w:pPr>
    </w:p>
    <w:p>
      <w:pPr>
        <w:ind w:right="20" w:firstLine="433"/>
        <w:spacing w:after="0" w:line="281" w:lineRule="auto"/>
        <w:rPr>
          <w:sz w:val="20"/>
          <w:szCs w:val="20"/>
          <w:color w:val="auto"/>
        </w:rPr>
      </w:pPr>
      <w:r>
        <w:rPr>
          <w:rFonts w:ascii="Times New Roman" w:cs="Times New Roman" w:eastAsia="Times New Roman" w:hAnsi="Times New Roman"/>
          <w:sz w:val="17"/>
          <w:szCs w:val="17"/>
          <w:color w:val="auto"/>
        </w:rPr>
        <w:t>On May 28, 2025, the Company sold Paradise Village Office Park in Phoenix, Arizona for $6,200, which resulted in a loss on sale or write down of assets of $643. The Company used the net proceeds for general corporate purposes.</w:t>
      </w:r>
    </w:p>
    <w:p>
      <w:pPr>
        <w:spacing w:after="0" w:line="67" w:lineRule="exact"/>
        <w:rPr>
          <w:sz w:val="20"/>
          <w:szCs w:val="20"/>
          <w:color w:val="auto"/>
        </w:rPr>
      </w:pPr>
    </w:p>
    <w:p>
      <w:pPr>
        <w:ind w:right="360" w:firstLine="433"/>
        <w:spacing w:after="0" w:line="265" w:lineRule="auto"/>
        <w:rPr>
          <w:sz w:val="20"/>
          <w:szCs w:val="20"/>
          <w:color w:val="auto"/>
        </w:rPr>
      </w:pPr>
      <w:r>
        <w:rPr>
          <w:rFonts w:ascii="Times New Roman" w:cs="Times New Roman" w:eastAsia="Times New Roman" w:hAnsi="Times New Roman"/>
          <w:sz w:val="17"/>
          <w:szCs w:val="17"/>
          <w:color w:val="auto"/>
        </w:rPr>
        <w:t>On June 11, 2025, the Company sold a former department store parcel located in Petaluma, California, for $2,625, which resulted in a gain on sale of assets of $1,953. The Company used the net proceeds for general corporate purposes.</w:t>
      </w:r>
    </w:p>
    <w:p>
      <w:pPr>
        <w:spacing w:after="0" w:line="80" w:lineRule="exact"/>
        <w:rPr>
          <w:sz w:val="20"/>
          <w:szCs w:val="20"/>
          <w:color w:val="auto"/>
        </w:rPr>
      </w:pPr>
    </w:p>
    <w:p>
      <w:pPr>
        <w:ind w:right="100" w:firstLine="433"/>
        <w:spacing w:after="0" w:line="265" w:lineRule="auto"/>
        <w:rPr>
          <w:sz w:val="20"/>
          <w:szCs w:val="20"/>
          <w:color w:val="auto"/>
        </w:rPr>
      </w:pPr>
      <w:r>
        <w:rPr>
          <w:rFonts w:ascii="Times New Roman" w:cs="Times New Roman" w:eastAsia="Times New Roman" w:hAnsi="Times New Roman"/>
          <w:sz w:val="17"/>
          <w:szCs w:val="17"/>
          <w:color w:val="auto"/>
        </w:rPr>
        <w:t>On June 30, 2025, the Company sold 1010-1016 Market Street parcels at Fashion District Philadelphia in Philadelphia, Pennsylvania for $10,750, which resulted in a gain on sale of assets of $2,378. The Company used the net proceeds for general corporate purposes.</w:t>
      </w:r>
    </w:p>
    <w:p>
      <w:pPr>
        <w:spacing w:after="0" w:line="80" w:lineRule="exact"/>
        <w:rPr>
          <w:sz w:val="20"/>
          <w:szCs w:val="20"/>
          <w:color w:val="auto"/>
        </w:rPr>
      </w:pPr>
    </w:p>
    <w:p>
      <w:pPr>
        <w:ind w:right="120" w:firstLine="433"/>
        <w:spacing w:after="0" w:line="245" w:lineRule="auto"/>
        <w:rPr>
          <w:sz w:val="20"/>
          <w:szCs w:val="20"/>
          <w:color w:val="auto"/>
        </w:rPr>
      </w:pPr>
      <w:r>
        <w:rPr>
          <w:rFonts w:ascii="Times New Roman" w:cs="Times New Roman" w:eastAsia="Times New Roman" w:hAnsi="Times New Roman"/>
          <w:sz w:val="17"/>
          <w:szCs w:val="17"/>
          <w:color w:val="auto"/>
        </w:rPr>
        <w:t>On August 18, 2025, the Company sold Lakewood Center in Lakewood, California for $332,115, including the assumption by the buyer of the $317,115 loan on the property, which resulted in a gain on sale of assets of $21,099. The Company used its share of the net proceeds of $4,933 for general corporate purposes.</w:t>
      </w:r>
    </w:p>
    <w:p>
      <w:pPr>
        <w:spacing w:after="0" w:line="96" w:lineRule="exact"/>
        <w:rPr>
          <w:sz w:val="20"/>
          <w:szCs w:val="20"/>
          <w:color w:val="auto"/>
        </w:rPr>
      </w:pPr>
    </w:p>
    <w:p>
      <w:pPr>
        <w:ind w:right="600" w:firstLine="433"/>
        <w:spacing w:after="0" w:line="281" w:lineRule="auto"/>
        <w:rPr>
          <w:sz w:val="20"/>
          <w:szCs w:val="20"/>
          <w:color w:val="auto"/>
        </w:rPr>
      </w:pPr>
      <w:r>
        <w:rPr>
          <w:rFonts w:ascii="Times New Roman" w:cs="Times New Roman" w:eastAsia="Times New Roman" w:hAnsi="Times New Roman"/>
          <w:sz w:val="17"/>
          <w:szCs w:val="17"/>
          <w:color w:val="auto"/>
        </w:rPr>
        <w:t>On August 20, 2025, the Company sold Valley Mall in Harrisonburg, Virginia for $22,100, which resulted in a gain on sale of assets of $319. The Company used the net proceeds for general corporate purposes. This asset was unencumbered.</w:t>
      </w:r>
    </w:p>
    <w:p>
      <w:pPr>
        <w:spacing w:after="0" w:line="67" w:lineRule="exact"/>
        <w:rPr>
          <w:sz w:val="20"/>
          <w:szCs w:val="20"/>
          <w:color w:val="auto"/>
        </w:rPr>
      </w:pPr>
    </w:p>
    <w:p>
      <w:pPr>
        <w:ind w:right="300" w:firstLine="433"/>
        <w:spacing w:after="0" w:line="265" w:lineRule="auto"/>
        <w:rPr>
          <w:sz w:val="20"/>
          <w:szCs w:val="20"/>
          <w:color w:val="auto"/>
        </w:rPr>
      </w:pPr>
      <w:r>
        <w:rPr>
          <w:rFonts w:ascii="Times New Roman" w:cs="Times New Roman" w:eastAsia="Times New Roman" w:hAnsi="Times New Roman"/>
          <w:sz w:val="17"/>
          <w:szCs w:val="17"/>
          <w:color w:val="auto"/>
        </w:rPr>
        <w:t>On November 17, 2025, the Company sold an outparcel at Los Cerritos Mall in Los Cerritos, California for $5,000, which resulted in a loss on sale of assets of $181. The Company used the net proceeds to pay down a portion of the debt at the property of $4,508.</w:t>
      </w:r>
    </w:p>
    <w:p>
      <w:pPr>
        <w:spacing w:after="0" w:line="80" w:lineRule="exact"/>
        <w:rPr>
          <w:sz w:val="20"/>
          <w:szCs w:val="20"/>
          <w:color w:val="auto"/>
        </w:rPr>
      </w:pPr>
    </w:p>
    <w:p>
      <w:pPr>
        <w:ind w:firstLine="433"/>
        <w:spacing w:after="0" w:line="245" w:lineRule="auto"/>
        <w:rPr>
          <w:sz w:val="20"/>
          <w:szCs w:val="20"/>
          <w:color w:val="auto"/>
        </w:rPr>
      </w:pPr>
      <w:r>
        <w:rPr>
          <w:rFonts w:ascii="Times New Roman" w:cs="Times New Roman" w:eastAsia="Times New Roman" w:hAnsi="Times New Roman"/>
          <w:sz w:val="17"/>
          <w:szCs w:val="17"/>
          <w:color w:val="auto"/>
        </w:rPr>
        <w:t>On December 10, 2025, the Company sold an outparcel at Washington Square in Portland, Oregon for $5,375, which resulted in a gain on sale of assets of $2,595; and on December 19, 2025, the Company sold the retail strip center at Washington Square for $25,750, which resulted in a loss on sale of assets of $2,718. The Company used the net proceeds of $29,708 from these two transactions for general corporate purposes.</w:t>
      </w:r>
    </w:p>
    <w:p>
      <w:pPr>
        <w:spacing w:after="0" w:line="96" w:lineRule="exact"/>
        <w:rPr>
          <w:sz w:val="20"/>
          <w:szCs w:val="20"/>
          <w:color w:val="auto"/>
        </w:rPr>
      </w:pPr>
    </w:p>
    <w:p>
      <w:pPr>
        <w:ind w:right="340" w:firstLine="433"/>
        <w:spacing w:after="0" w:line="265" w:lineRule="auto"/>
        <w:rPr>
          <w:sz w:val="20"/>
          <w:szCs w:val="20"/>
          <w:color w:val="auto"/>
        </w:rPr>
      </w:pPr>
      <w:r>
        <w:rPr>
          <w:rFonts w:ascii="Times New Roman" w:cs="Times New Roman" w:eastAsia="Times New Roman" w:hAnsi="Times New Roman"/>
          <w:sz w:val="17"/>
          <w:szCs w:val="17"/>
          <w:color w:val="auto"/>
        </w:rPr>
        <w:t>For the three months ended March 31, 2026 and 2025, the Company sold various land parcels, resulting in gains on sale of land of $10,094 and $923, respectively. The Company used its share of the proceeds from these sales to pay down debt and for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Commitments and Contingencies:</w:t>
      </w:r>
    </w:p>
    <w:p>
      <w:pPr>
        <w:spacing w:after="0" w:line="147" w:lineRule="exact"/>
        <w:rPr>
          <w:sz w:val="20"/>
          <w:szCs w:val="20"/>
          <w:color w:val="auto"/>
        </w:rPr>
      </w:pPr>
    </w:p>
    <w:p>
      <w:pPr>
        <w:ind w:right="660" w:firstLine="433"/>
        <w:spacing w:after="0" w:line="297" w:lineRule="auto"/>
        <w:rPr>
          <w:sz w:val="20"/>
          <w:szCs w:val="20"/>
          <w:color w:val="auto"/>
        </w:rPr>
      </w:pPr>
      <w:r>
        <w:rPr>
          <w:rFonts w:ascii="Times New Roman" w:cs="Times New Roman" w:eastAsia="Times New Roman" w:hAnsi="Times New Roman"/>
          <w:sz w:val="17"/>
          <w:szCs w:val="17"/>
          <w:color w:val="auto"/>
        </w:rPr>
        <w:t>As of March 31, 2026, the Company was contingently liable for $1,000 in letters of credit guaranteeing performance by the Company of certain obligations relating to the Centers. The Company does not believe that these letters of credit will result in a liability to the Company.</w:t>
      </w:r>
    </w:p>
    <w:p>
      <w:pPr>
        <w:spacing w:after="0" w:line="80" w:lineRule="exact"/>
        <w:rPr>
          <w:sz w:val="20"/>
          <w:szCs w:val="20"/>
          <w:color w:val="auto"/>
        </w:rPr>
      </w:pPr>
    </w:p>
    <w:p>
      <w:pPr>
        <w:ind w:right="60" w:firstLine="433"/>
        <w:spacing w:after="0" w:line="277" w:lineRule="auto"/>
        <w:rPr>
          <w:sz w:val="20"/>
          <w:szCs w:val="20"/>
          <w:color w:val="auto"/>
        </w:rPr>
      </w:pPr>
      <w:r>
        <w:rPr>
          <w:rFonts w:ascii="Times New Roman" w:cs="Times New Roman" w:eastAsia="Times New Roman" w:hAnsi="Times New Roman"/>
          <w:sz w:val="17"/>
          <w:szCs w:val="17"/>
          <w:color w:val="auto"/>
        </w:rPr>
        <w:t>The Company has entered into a number of construction agreements related to its redevelopment and development activities. Obligations under these agreements are contingent upon the completion of the services within the guidelines specified in the relevant agreement. At March 31, 2026, the Company had $79,564 in outstanding obligations, which it believes will be settled in the next twelve months.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Related Party Transactions:</w:t>
      </w:r>
    </w:p>
    <w:p>
      <w:pPr>
        <w:spacing w:after="0" w:line="147" w:lineRule="exact"/>
        <w:rPr>
          <w:sz w:val="20"/>
          <w:szCs w:val="20"/>
          <w:color w:val="auto"/>
        </w:rPr>
      </w:pPr>
    </w:p>
    <w:p>
      <w:pPr>
        <w:ind w:right="40" w:firstLine="433"/>
        <w:spacing w:after="0" w:line="277" w:lineRule="auto"/>
        <w:rPr>
          <w:sz w:val="20"/>
          <w:szCs w:val="20"/>
          <w:color w:val="auto"/>
        </w:rPr>
      </w:pPr>
      <w:r>
        <w:rPr>
          <w:rFonts w:ascii="Times New Roman" w:cs="Times New Roman" w:eastAsia="Times New Roman" w:hAnsi="Times New Roman"/>
          <w:sz w:val="17"/>
          <w:szCs w:val="17"/>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are fees charged to unconsolidated joint ventures:</w:t>
      </w:r>
    </w:p>
    <w:p>
      <w:pPr>
        <w:spacing w:after="0" w:line="200" w:lineRule="exact"/>
        <w:rPr>
          <w:sz w:val="20"/>
          <w:szCs w:val="20"/>
          <w:color w:val="auto"/>
        </w:rPr>
      </w:pPr>
    </w:p>
    <w:p>
      <w:pPr>
        <w:spacing w:after="0" w:line="320"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1"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440" w:type="dxa"/>
        <w:tblCellMar>
          <w:top w:w="0" w:type="dxa"/>
          <w:left w:w="0" w:type="dxa"/>
          <w:bottom w:w="0" w:type="dxa"/>
          <w:right w:w="0" w:type="dxa"/>
        </w:tblCellMar>
      </w:tblPr>
      <w:tr>
        <w:trPr>
          <w:trHeight w:val="194"/>
        </w:trPr>
        <w:tc>
          <w:tcPr>
            <w:tcW w:w="36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fees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3,141</w:t>
            </w:r>
          </w:p>
        </w:tc>
      </w:tr>
      <w:tr>
        <w:trPr>
          <w:trHeight w:val="223"/>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Development and leasing fees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1,592</w:t>
            </w:r>
          </w:p>
        </w:tc>
      </w:tr>
      <w:tr>
        <w:trPr>
          <w:trHeight w:val="241"/>
        </w:trPr>
        <w:tc>
          <w:tcPr>
            <w:tcW w:w="36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4,733</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40" w:firstLine="433"/>
        <w:spacing w:after="0" w:line="297" w:lineRule="auto"/>
        <w:rPr>
          <w:sz w:val="20"/>
          <w:szCs w:val="20"/>
          <w:color w:val="auto"/>
        </w:rPr>
      </w:pPr>
      <w:r>
        <w:rPr>
          <w:rFonts w:ascii="Times New Roman" w:cs="Times New Roman" w:eastAsia="Times New Roman" w:hAnsi="Times New Roman"/>
          <w:sz w:val="17"/>
          <w:szCs w:val="17"/>
          <w:color w:val="auto"/>
        </w:rPr>
        <w:t>Due from affiliates includes $3,587 and $2,449 of unreimbursed costs and fees from unconsolidated joint ventures due to the Management Companies at March 31, 2026 and December 31, 2025,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Share and Unit-Based Plans:</w:t>
      </w:r>
    </w:p>
    <w:p>
      <w:pPr>
        <w:spacing w:after="0" w:line="147"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w:t>
      </w:r>
    </w:p>
    <w:p>
      <w:pPr>
        <w:spacing w:after="0" w:line="106" w:lineRule="exact"/>
        <w:rPr>
          <w:sz w:val="20"/>
          <w:szCs w:val="20"/>
          <w:color w:val="auto"/>
        </w:rPr>
      </w:pPr>
    </w:p>
    <w:p>
      <w:pPr>
        <w:ind w:right="100" w:firstLine="433"/>
        <w:spacing w:after="0" w:line="277" w:lineRule="auto"/>
        <w:rPr>
          <w:sz w:val="20"/>
          <w:szCs w:val="20"/>
          <w:color w:val="auto"/>
        </w:rPr>
      </w:pPr>
      <w:r>
        <w:rPr>
          <w:rFonts w:ascii="Times New Roman" w:cs="Times New Roman" w:eastAsia="Times New Roman" w:hAnsi="Times New Roman"/>
          <w:sz w:val="17"/>
          <w:szCs w:val="17"/>
          <w:color w:val="auto"/>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2026 performance-based LTI Units are all market-indexed awards.</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During the three months ended March 31, 2026, the Company granted the following LTI Units:</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1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20" w:type="dxa"/>
            <w:vAlign w:val="bottom"/>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Pr>
          <w:p>
            <w:pPr>
              <w:spacing w:after="0"/>
              <w:rPr>
                <w:sz w:val="16"/>
                <w:szCs w:val="16"/>
                <w:color w:val="auto"/>
              </w:rPr>
            </w:pPr>
          </w:p>
        </w:tc>
        <w:tc>
          <w:tcPr>
            <w:tcW w:w="20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5"/>
              </w:rPr>
              <w:t>Fair Value per LTI</w:t>
            </w:r>
          </w:p>
        </w:tc>
        <w:tc>
          <w:tcPr>
            <w:tcW w:w="1300" w:type="dxa"/>
            <w:vAlign w:val="bottom"/>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Vest Date</w:t>
            </w:r>
          </w:p>
        </w:tc>
        <w:tc>
          <w:tcPr>
            <w:tcW w:w="0" w:type="dxa"/>
            <w:vAlign w:val="bottom"/>
          </w:tcPr>
          <w:p>
            <w:pPr>
              <w:spacing w:after="0"/>
              <w:rPr>
                <w:sz w:val="1"/>
                <w:szCs w:val="1"/>
                <w:color w:val="auto"/>
              </w:rPr>
            </w:pPr>
          </w:p>
        </w:tc>
      </w:tr>
      <w:tr>
        <w:trPr>
          <w:trHeight w:val="209"/>
        </w:trPr>
        <w:tc>
          <w:tcPr>
            <w:tcW w:w="142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142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Unit</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2/16/2026</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241,220</w:t>
            </w:r>
          </w:p>
        </w:tc>
        <w:tc>
          <w:tcPr>
            <w:tcW w:w="16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12/31/2028</w:t>
            </w:r>
          </w:p>
        </w:tc>
        <w:tc>
          <w:tcPr>
            <w:tcW w:w="0" w:type="dxa"/>
            <w:vAlign w:val="bottom"/>
          </w:tcPr>
          <w:p>
            <w:pPr>
              <w:spacing w:after="0"/>
              <w:rPr>
                <w:sz w:val="1"/>
                <w:szCs w:val="1"/>
                <w:color w:val="auto"/>
              </w:rPr>
            </w:pPr>
          </w:p>
        </w:tc>
      </w:tr>
      <w:tr>
        <w:trPr>
          <w:trHeight w:val="223"/>
        </w:trPr>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2/16/2026</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600,123</w:t>
            </w:r>
          </w:p>
        </w:tc>
        <w:tc>
          <w:tcPr>
            <w:tcW w:w="16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Performance-based</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30.71</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12/31/2028</w:t>
            </w:r>
          </w:p>
        </w:tc>
        <w:tc>
          <w:tcPr>
            <w:tcW w:w="0" w:type="dxa"/>
            <w:vAlign w:val="bottom"/>
          </w:tcPr>
          <w:p>
            <w:pPr>
              <w:spacing w:after="0"/>
              <w:rPr>
                <w:sz w:val="1"/>
                <w:szCs w:val="1"/>
                <w:color w:val="auto"/>
              </w:rPr>
            </w:pPr>
          </w:p>
        </w:tc>
      </w:tr>
      <w:tr>
        <w:trPr>
          <w:trHeight w:val="241"/>
        </w:trPr>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841,343</w:t>
            </w:r>
          </w:p>
        </w:tc>
        <w:tc>
          <w:tcPr>
            <w:tcW w:w="1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261"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Share and Unit-Based Plans: (Continued)</w:t>
      </w:r>
    </w:p>
    <w:p>
      <w:pPr>
        <w:spacing w:after="0" w:line="200" w:lineRule="exact"/>
        <w:rPr>
          <w:sz w:val="20"/>
          <w:szCs w:val="20"/>
          <w:color w:val="auto"/>
        </w:rPr>
      </w:pPr>
    </w:p>
    <w:p>
      <w:pPr>
        <w:spacing w:after="0" w:line="315" w:lineRule="exact"/>
        <w:rPr>
          <w:sz w:val="20"/>
          <w:szCs w:val="20"/>
          <w:color w:val="auto"/>
        </w:rPr>
      </w:pPr>
    </w:p>
    <w:p>
      <w:pPr>
        <w:jc w:val="both"/>
        <w:ind w:right="100" w:firstLine="433"/>
        <w:spacing w:after="0" w:line="277" w:lineRule="auto"/>
        <w:rPr>
          <w:sz w:val="20"/>
          <w:szCs w:val="20"/>
          <w:color w:val="auto"/>
        </w:rPr>
      </w:pPr>
      <w:r>
        <w:rPr>
          <w:rFonts w:ascii="Times New Roman" w:cs="Times New Roman" w:eastAsia="Times New Roman" w:hAnsi="Times New Roman"/>
          <w:sz w:val="17"/>
          <w:szCs w:val="17"/>
          <w:color w:val="auto"/>
        </w:rPr>
        <w:t>The fair value of the service-based LTI Units was determined by the market price of the Company's common stock on the date of grant. The fair value (Level 3 measurement) of the performance-based LTI Units granted on February 16, 2026 was estimated on the date of grant using a Monte Carlo Simulation model that assumed an approximate three-year risk-free interest rate of 3.37% and an expected volatility of 39.49%.</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activity of the non-vested LTI Units, phantom stock units and stock units:</w:t>
      </w:r>
    </w:p>
    <w:p>
      <w:pPr>
        <w:spacing w:after="0" w:line="200"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26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LTI Units</w:t>
            </w:r>
          </w:p>
        </w:tc>
        <w:tc>
          <w:tcPr>
            <w:tcW w:w="22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Phantom Stock Units</w:t>
            </w:r>
          </w:p>
        </w:tc>
        <w:tc>
          <w:tcPr>
            <w:tcW w:w="2140" w:type="dxa"/>
            <w:vAlign w:val="bottom"/>
            <w:gridSpan w:val="4"/>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Stock Units</w:t>
            </w:r>
          </w:p>
        </w:tc>
      </w:tr>
      <w:tr>
        <w:trPr>
          <w:trHeight w:val="204"/>
        </w:trPr>
        <w:tc>
          <w:tcPr>
            <w:tcW w:w="274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2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0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w w:val="98"/>
              </w:rPr>
              <w:t>Value(1)</w:t>
            </w:r>
          </w:p>
        </w:tc>
      </w:tr>
      <w:tr>
        <w:trPr>
          <w:trHeight w:val="217"/>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1, 2026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1,643,216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220,628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w:t>
            </w:r>
          </w:p>
        </w:tc>
      </w:tr>
      <w:tr>
        <w:trPr>
          <w:trHeight w:val="223"/>
        </w:trPr>
        <w:tc>
          <w:tcPr>
            <w:tcW w:w="2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841,343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163,869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18.32</w:t>
            </w:r>
          </w:p>
        </w:tc>
      </w:tr>
      <w:tr>
        <w:trPr>
          <w:trHeight w:val="223"/>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Vested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15.30</w:t>
            </w:r>
          </w:p>
        </w:tc>
      </w:tr>
      <w:tr>
        <w:trPr>
          <w:trHeight w:val="223"/>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18.61</w:t>
            </w:r>
          </w:p>
        </w:tc>
      </w:tr>
      <w:tr>
        <w:trPr>
          <w:trHeight w:val="241"/>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2,484,559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292,623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17.71</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(1) Value represents the weighted average grant date fair value.</w:t>
      </w:r>
    </w:p>
    <w:p>
      <w:pPr>
        <w:spacing w:after="0" w:line="3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the activity of the vested stock options outstanding:</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214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Stock Options</w:t>
            </w:r>
          </w:p>
        </w:tc>
      </w:tr>
      <w:tr>
        <w:trPr>
          <w:trHeight w:val="204"/>
        </w:trPr>
        <w:tc>
          <w:tcPr>
            <w:tcW w:w="3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1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1, 2026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54.56</w:t>
            </w:r>
          </w:p>
        </w:tc>
      </w:tr>
      <w:tr>
        <w:trPr>
          <w:trHeight w:val="223"/>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26,371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54.56</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149860</wp:posOffset>
            </wp:positionV>
            <wp:extent cx="191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15160" cy="825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(1) Value represents the weighted average exercise price.</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summarizes the compensation cost under the share and unit-based plans:</w:t>
      </w:r>
    </w:p>
    <w:p>
      <w:pPr>
        <w:spacing w:after="0" w:line="180"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19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9"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9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LTI Units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2,697</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units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Phantom stock units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16"/>
        </w:trPr>
        <w:tc>
          <w:tcPr>
            <w:tcW w:w="494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3,482</w:t>
            </w: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Company capitalized share and unit-based compensation costs of $175 and $276 for the three months ended March 31, 2026 and 2025, respectively. Unrecognized compensation costs of share and unit-based plans at March 31, 2026 consisted of $37,294 from LTI Units, $3,639 from stock units and $0 from phantom stock units.</w:t>
      </w:r>
    </w:p>
    <w:p>
      <w:pPr>
        <w:sectPr>
          <w:pgSz w:w="11900" w:h="16838" w:orient="portrait"/>
          <w:cols w:equalWidth="0" w:num="1">
            <w:col w:w="11120"/>
          </w:cols>
          <w:pgMar w:left="320" w:top="26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261" w:right="4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Income Taxes:</w:t>
      </w:r>
    </w:p>
    <w:p>
      <w:pPr>
        <w:spacing w:after="0" w:line="161" w:lineRule="exact"/>
        <w:rPr>
          <w:sz w:val="20"/>
          <w:szCs w:val="20"/>
          <w:color w:val="auto"/>
        </w:rPr>
      </w:pPr>
    </w:p>
    <w:p>
      <w:pPr>
        <w:ind w:right="20" w:firstLine="433"/>
        <w:spacing w:after="0" w:line="270" w:lineRule="auto"/>
        <w:rPr>
          <w:sz w:val="20"/>
          <w:szCs w:val="20"/>
          <w:color w:val="auto"/>
        </w:rPr>
      </w:pPr>
      <w:r>
        <w:rPr>
          <w:rFonts w:ascii="Times New Roman" w:cs="Times New Roman" w:eastAsia="Times New Roman" w:hAnsi="Times New Roman"/>
          <w:sz w:val="17"/>
          <w:szCs w:val="17"/>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income tax provision of the TRSs is as follows:</w:t>
      </w:r>
    </w:p>
    <w:p>
      <w:pPr>
        <w:spacing w:after="0" w:line="205"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2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43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43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2"/>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76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2,641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w:t>
            </w:r>
          </w:p>
        </w:tc>
      </w:tr>
      <w:tr>
        <w:trPr>
          <w:trHeight w:val="241"/>
        </w:trPr>
        <w:tc>
          <w:tcPr>
            <w:tcW w:w="4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income tax benefit</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2,641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60" w:firstLine="433"/>
        <w:spacing w:after="0" w:line="277" w:lineRule="auto"/>
        <w:rPr>
          <w:sz w:val="20"/>
          <w:szCs w:val="20"/>
          <w:color w:val="auto"/>
        </w:rPr>
      </w:pPr>
      <w:r>
        <w:rPr>
          <w:rFonts w:ascii="Times New Roman" w:cs="Times New Roman" w:eastAsia="Times New Roman" w:hAnsi="Times New Roman"/>
          <w:sz w:val="17"/>
          <w:szCs w:val="17"/>
          <w:color w:val="auto"/>
        </w:rPr>
        <w:t>The net operating loss ("NOL") carryforwards generated through the 2017 tax year are scheduled to expire through 2037, beginning in 2031. Pursuant to the Tax Cuts and Jobs Act of 2017, NOLs generated in 2018 and subsequent tax years are carried forward indefinitely. Net deferred tax assets of $30,158 and $27,517 were included in deferred charges and other assets, net at March 31, 2026 and December 31, 2025, respectively.</w:t>
      </w:r>
    </w:p>
    <w:p>
      <w:pPr>
        <w:spacing w:after="0" w:line="84" w:lineRule="exact"/>
        <w:rPr>
          <w:sz w:val="20"/>
          <w:szCs w:val="20"/>
          <w:color w:val="auto"/>
        </w:rPr>
      </w:pPr>
    </w:p>
    <w:p>
      <w:pPr>
        <w:ind w:right="60" w:firstLine="433"/>
        <w:spacing w:after="0" w:line="270" w:lineRule="auto"/>
        <w:rPr>
          <w:sz w:val="20"/>
          <w:szCs w:val="20"/>
          <w:color w:val="auto"/>
        </w:rPr>
      </w:pPr>
      <w:r>
        <w:rPr>
          <w:rFonts w:ascii="Times New Roman" w:cs="Times New Roman" w:eastAsia="Times New Roman" w:hAnsi="Times New Roman"/>
          <w:sz w:val="17"/>
          <w:szCs w:val="17"/>
          <w:color w:val="auto"/>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March 31, 2026, the Company had no valuation allowance recorded.</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tax years 2022 through 2024 remain open to examination by the taxing jurisdictions to which the Company is subject.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Segment Reporting:</w:t>
      </w:r>
    </w:p>
    <w:p>
      <w:pPr>
        <w:spacing w:after="0" w:line="147"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The Company operates as one operating segment and is involved in the acquisition, ownership, development, redevelopment, management and leasing of regional and community/power shopping centers located throughout the United States. The Company's Chief Operating Decision Maker ("CODM") is the chief executive officer, who reviews financial information presented on a consolidated basis. The CODM assesses performance for the Company's single reportable segment and decides how to allocate resources based on consolidated net income (see the Consolidated Statements of Operations). The Company's objective in making resource allocation decisions is to optimize the consolidated financial results.</w:t>
      </w:r>
    </w:p>
    <w:p>
      <w:pPr>
        <w:spacing w:after="0" w:line="106"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The accounting policies of the Company’s single reportable segment are the same as those described in the summary of significant accounting policies. As the Company's operations comprise of a single reporting segment, the measure of segment assets is reported in the accompanying consolidated balance sheets as “Total assets.” Consolidated net income, which is reported in the accompanying Consolidated Statements of Operations as “Net (loss) income attributable to the Company” is the measure of segment profit or loss that is most consistent with GAAP that is regularly reviewed by the CODM. Consolidated net income is used by the CODM in assessing the performance of the segment and the significant segment expenses are listed on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26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Subsequent Events:</w:t>
      </w:r>
    </w:p>
    <w:p>
      <w:pPr>
        <w:spacing w:after="0" w:line="161"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On May 4, 2026, the Company announced a dividend/distribution of $0.17 per share for common stockholders and OP Unitholders of record on June 15, 2026. All dividends/distributions will be paid in cash on June 29, 2026.</w:t>
      </w:r>
    </w:p>
    <w:p>
      <w:pPr>
        <w:spacing w:after="0" w:line="172" w:lineRule="exact"/>
        <w:rPr>
          <w:sz w:val="20"/>
          <w:szCs w:val="20"/>
          <w:color w:val="auto"/>
        </w:rPr>
      </w:pPr>
    </w:p>
    <w:p>
      <w:pPr>
        <w:jc w:val="both"/>
        <w:ind w:right="20" w:firstLine="433"/>
        <w:spacing w:after="0" w:line="277" w:lineRule="auto"/>
        <w:rPr>
          <w:sz w:val="20"/>
          <w:szCs w:val="20"/>
          <w:color w:val="auto"/>
        </w:rPr>
      </w:pPr>
      <w:r>
        <w:rPr>
          <w:rFonts w:ascii="Times New Roman" w:cs="Times New Roman" w:eastAsia="Times New Roman" w:hAnsi="Times New Roman"/>
          <w:sz w:val="17"/>
          <w:szCs w:val="17"/>
          <w:color w:val="auto"/>
        </w:rPr>
        <w:t>On April 30, 2026, the Company acquired Annapolis Mall, a regional retail center totaling approximately 1,500,000 square feet in Annapolis, Maryland, for a total purchase price of $260,000 and the adjacent 13.1 acre vacant Sears parcel for $12,000. The acquisition was funded with cash on hand and $150,000 of borrowings on the Company's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261"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880"/>
        <w:spacing w:after="0" w:line="427" w:lineRule="auto"/>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 IMPORTANT INFORMATION RELATED TO FORWARD-LOOKING STATEMENTS</w:t>
      </w:r>
    </w:p>
    <w:p>
      <w:pPr>
        <w:spacing w:after="0" w:line="1" w:lineRule="exact"/>
        <w:rPr>
          <w:sz w:val="20"/>
          <w:szCs w:val="20"/>
          <w:color w:val="auto"/>
        </w:rPr>
      </w:pPr>
    </w:p>
    <w:p>
      <w:pPr>
        <w:ind w:right="20" w:firstLine="433"/>
        <w:spacing w:after="0" w:line="265" w:lineRule="auto"/>
        <w:rPr>
          <w:sz w:val="20"/>
          <w:szCs w:val="20"/>
          <w:color w:val="auto"/>
        </w:rPr>
      </w:pPr>
      <w:r>
        <w:rPr>
          <w:rFonts w:ascii="Times New Roman" w:cs="Times New Roman" w:eastAsia="Times New Roman" w:hAnsi="Times New Roman"/>
          <w:sz w:val="17"/>
          <w:szCs w:val="17"/>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08" w:lineRule="exact"/>
        <w:rPr>
          <w:sz w:val="20"/>
          <w:szCs w:val="20"/>
          <w:color w:val="auto"/>
        </w:rPr>
      </w:pPr>
    </w:p>
    <w:p>
      <w:pPr>
        <w:ind w:left="1260" w:hanging="626"/>
        <w:spacing w:after="0"/>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the Company's growth;</w:t>
      </w:r>
    </w:p>
    <w:p>
      <w:pPr>
        <w:spacing w:after="0" w:line="66"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the Company's Path Forward Plan and its ability to meet the goals established under such plan;</w:t>
      </w:r>
    </w:p>
    <w:p>
      <w:pPr>
        <w:spacing w:after="0" w:line="66" w:lineRule="exact"/>
        <w:rPr>
          <w:rFonts w:ascii="Times New Roman" w:cs="Times New Roman" w:eastAsia="Times New Roman" w:hAnsi="Times New Roman"/>
          <w:sz w:val="17"/>
          <w:szCs w:val="17"/>
          <w:color w:val="auto"/>
        </w:rPr>
      </w:pPr>
    </w:p>
    <w:p>
      <w:pPr>
        <w:ind w:left="1260" w:right="180" w:hanging="626"/>
        <w:spacing w:after="0" w:line="289" w:lineRule="auto"/>
        <w:tabs>
          <w:tab w:leader="none" w:pos="12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beliefs regarding its acquisition, redevelopment, development, leasing and operational activities and opportunities, including the performance and financial stability of its retailers;</w:t>
      </w:r>
    </w:p>
    <w:p>
      <w:pPr>
        <w:spacing w:after="0" w:line="1"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acquisition, disposition and other strategies;</w:t>
      </w:r>
    </w:p>
    <w:p>
      <w:pPr>
        <w:spacing w:after="0" w:line="66"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matters pertaining to compliance with governmental regulations;</w:t>
      </w:r>
    </w:p>
    <w:p>
      <w:pPr>
        <w:spacing w:after="0" w:line="66"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capital expenditure plans and expectations for obtaining capital for expenditures;</w:t>
      </w:r>
    </w:p>
    <w:p>
      <w:pPr>
        <w:spacing w:after="0" w:line="66"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expectations regarding income tax benefits;</w:t>
      </w:r>
    </w:p>
    <w:p>
      <w:pPr>
        <w:spacing w:after="0" w:line="66"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expectations regarding its financial condition or results of operations; and</w:t>
      </w:r>
    </w:p>
    <w:p>
      <w:pPr>
        <w:spacing w:after="0" w:line="66" w:lineRule="exact"/>
        <w:rPr>
          <w:rFonts w:ascii="Times New Roman" w:cs="Times New Roman" w:eastAsia="Times New Roman" w:hAnsi="Times New Roman"/>
          <w:sz w:val="17"/>
          <w:szCs w:val="17"/>
          <w:color w:val="auto"/>
        </w:rPr>
      </w:pPr>
    </w:p>
    <w:p>
      <w:pPr>
        <w:ind w:left="1260" w:right="480" w:hanging="626"/>
        <w:spacing w:after="0" w:line="297" w:lineRule="auto"/>
        <w:tabs>
          <w:tab w:leader="none" w:pos="12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expectations for refinancing its indebtedness, entering into and servicing debt obligations and entering into joint venture arrangements.</w:t>
      </w:r>
    </w:p>
    <w:p>
      <w:pPr>
        <w:spacing w:after="0" w:line="67" w:lineRule="exact"/>
        <w:rPr>
          <w:sz w:val="20"/>
          <w:szCs w:val="20"/>
          <w:color w:val="auto"/>
        </w:rPr>
      </w:pPr>
    </w:p>
    <w:p>
      <w:pPr>
        <w:ind w:firstLine="433"/>
        <w:spacing w:after="0" w:line="259" w:lineRule="auto"/>
        <w:rPr>
          <w:sz w:val="20"/>
          <w:szCs w:val="20"/>
          <w:color w:val="auto"/>
        </w:rPr>
      </w:pPr>
      <w:r>
        <w:rPr>
          <w:rFonts w:ascii="Times New Roman" w:cs="Times New Roman" w:eastAsia="Times New Roman" w:hAnsi="Times New Roman"/>
          <w:sz w:val="17"/>
          <w:szCs w:val="17"/>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global, national, regional and local economic and business conditions, including the impact of geopolitical tensions, tariffs, elevated interest rates and inflation, which will, among other things, affect demand for retail space or retail goods, availability and creditworthiness of current and prospective tenants, anchor or tenant bankruptcies, closures, mergers or consolidations, lease rates, terms and payments; elevated interest rates and their impact on the financial condition and results of operations of the Company, including as a result of any increased borrowing costs on the Company's outstanding floating-rate debt and defaults on mortgage loans, availability, terms and cost of financing and operating expenses; adverse changes in the real estate markets including, among other things, competition from other companies, retail formats and technology, risks of real estate development and redevelopment (including elevated inflation, supply chain disruptions and construction delays), acquisitions and dispositions; adverse impacts from any pandemic, epidemic or outbreak of any highly infectious disease on the U.S., regional and global economies and the financial condition and results of operations of the Company and its tenants; the liquidity of real estate investments; government shutdowns and other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in our Annual Report on Form 10-K for the year ended December 31, 2025,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Overview and Summary</w:t>
      </w:r>
    </w:p>
    <w:p>
      <w:pPr>
        <w:spacing w:after="0" w:line="161" w:lineRule="exact"/>
        <w:rPr>
          <w:sz w:val="20"/>
          <w:szCs w:val="20"/>
          <w:color w:val="auto"/>
        </w:rPr>
      </w:pPr>
    </w:p>
    <w:p>
      <w:pPr>
        <w:ind w:right="200" w:firstLine="433"/>
        <w:spacing w:after="0" w:line="265" w:lineRule="auto"/>
        <w:rPr>
          <w:sz w:val="20"/>
          <w:szCs w:val="20"/>
          <w:color w:val="auto"/>
        </w:rPr>
      </w:pPr>
      <w:r>
        <w:rPr>
          <w:rFonts w:ascii="Times New Roman" w:cs="Times New Roman" w:eastAsia="Times New Roman" w:hAnsi="Times New Roman"/>
          <w:sz w:val="17"/>
          <w:szCs w:val="17"/>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March 31, 2026, the Operating Partnership owned or had an ownership interest in 37 regional retail centers (including office, hotel and residential space adjacent to these shopping centers) and one community/power shopping center. These 38 regional retail centers and one community/power shopping center consist of approximately 39 million square feet of gross leasable area ("GLA") and are referred to herein as the "Centers". The Centers consist of consolidated Centers ("Consolidated Centers")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unconsolidated joint venture Centers ("Unconsolidated Joint Venture Centers"), unless the context otherwise requires. The property management, leasing and redevelopment of the Company's portfolio is provided by the Company's seven management companies (collectively referred to herein as the "Management Companies"). The Company is a self-administered and self-managed real estate investment trust ("REIT") and conducts all of its operations through the Operating Partnership and the Management Companies.</w:t>
      </w:r>
    </w:p>
    <w:p>
      <w:pPr>
        <w:spacing w:after="0" w:line="91" w:lineRule="exact"/>
        <w:rPr>
          <w:sz w:val="20"/>
          <w:szCs w:val="20"/>
          <w:color w:val="auto"/>
        </w:rPr>
      </w:pPr>
    </w:p>
    <w:p>
      <w:pPr>
        <w:ind w:right="20" w:firstLine="433"/>
        <w:spacing w:after="0" w:line="270" w:lineRule="auto"/>
        <w:rPr>
          <w:sz w:val="20"/>
          <w:szCs w:val="20"/>
          <w:color w:val="auto"/>
        </w:rPr>
      </w:pPr>
      <w:r>
        <w:rPr>
          <w:rFonts w:ascii="Times New Roman" w:cs="Times New Roman" w:eastAsia="Times New Roman" w:hAnsi="Times New Roman"/>
          <w:sz w:val="17"/>
          <w:szCs w:val="17"/>
          <w:color w:val="auto"/>
        </w:rPr>
        <w:t>The following discussion is based primarily on the consolidated financial statements of the Company for the three months ended March 31, 2026 and 2025. It compares the results of operations for the three months ended March 31, 2026 to the results of operations for the three months ended March 31, 2025. It also compares the results of operations and cash flows for the three months ended March 31, 2026 to the results of operations and cash flows for the three months ended March 31, 2025.</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This information should be read in conjunction with the accompanying consolidated financial statements and notes thereto.</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Acquisitions</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jc w:val="both"/>
        <w:ind w:right="320" w:firstLine="433"/>
        <w:spacing w:after="0" w:line="277" w:lineRule="auto"/>
        <w:rPr>
          <w:sz w:val="20"/>
          <w:szCs w:val="20"/>
          <w:color w:val="auto"/>
        </w:rPr>
      </w:pPr>
      <w:r>
        <w:rPr>
          <w:rFonts w:ascii="Times New Roman" w:cs="Times New Roman" w:eastAsia="Times New Roman" w:hAnsi="Times New Roman"/>
          <w:sz w:val="17"/>
          <w:szCs w:val="17"/>
          <w:color w:val="auto"/>
        </w:rPr>
        <w:t>On June 23, 2025, the Company acquired Crabtree Mall, a 1,320,000 square foot regional retail center in Raleigh, North Carolina, for a total purchase price of $290.0 million. The acquisition was initially funded with cash on hand and $100.0 million of borrowings on the Company's revolving credit facility (See "Financing Activities" and Note 14—Acquisitions in the Notes to the Consolidated Financial Statements).</w:t>
      </w:r>
    </w:p>
    <w:p>
      <w:pPr>
        <w:spacing w:after="0" w:line="97" w:lineRule="exact"/>
        <w:rPr>
          <w:sz w:val="20"/>
          <w:szCs w:val="20"/>
          <w:color w:val="auto"/>
        </w:rPr>
      </w:pPr>
    </w:p>
    <w:p>
      <w:pPr>
        <w:jc w:val="both"/>
        <w:ind w:right="60" w:firstLine="433"/>
        <w:spacing w:after="0" w:line="277" w:lineRule="auto"/>
        <w:rPr>
          <w:sz w:val="20"/>
          <w:szCs w:val="20"/>
          <w:color w:val="auto"/>
        </w:rPr>
      </w:pPr>
      <w:r>
        <w:rPr>
          <w:rFonts w:ascii="Times New Roman" w:cs="Times New Roman" w:eastAsia="Times New Roman" w:hAnsi="Times New Roman"/>
          <w:sz w:val="17"/>
          <w:szCs w:val="17"/>
          <w:color w:val="auto"/>
        </w:rPr>
        <w:t>On April 30, 2026, the Company acquired Annapolis Mall, a regional retail center totaling approximately 1.5 million square feet in Annapolis, Maryland, for a total purchase price of $260.0 million and the adjacent 13.1 acre vacant Sears parcel for $12.0 million. The acquisition was funded with cash on hand and $150.0 million of borrowings on the Company's revolving credit facility.</w:t>
      </w:r>
    </w:p>
    <w:p>
      <w:pPr>
        <w:spacing w:after="0" w:line="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Dispositions:</w:t>
      </w:r>
    </w:p>
    <w:p>
      <w:pPr>
        <w:spacing w:after="0" w:line="134" w:lineRule="exact"/>
        <w:rPr>
          <w:sz w:val="20"/>
          <w:szCs w:val="20"/>
          <w:color w:val="auto"/>
        </w:rPr>
      </w:pPr>
    </w:p>
    <w:p>
      <w:pPr>
        <w:jc w:val="both"/>
        <w:ind w:right="80" w:firstLine="433"/>
        <w:spacing w:after="0" w:line="281" w:lineRule="auto"/>
        <w:rPr>
          <w:sz w:val="20"/>
          <w:szCs w:val="20"/>
          <w:color w:val="auto"/>
        </w:rPr>
      </w:pPr>
      <w:r>
        <w:rPr>
          <w:rFonts w:ascii="Times New Roman" w:cs="Times New Roman" w:eastAsia="Times New Roman" w:hAnsi="Times New Roman"/>
          <w:sz w:val="17"/>
          <w:szCs w:val="17"/>
          <w:color w:val="auto"/>
        </w:rPr>
        <w:t>On March 27, 2025, the Company sold Wilton Mall, a 740,000 square foot regional retail center in Saratoga Springs, New York, for $24.8 million, which resulted in a loss on sale of assets of $2.9 million. The Company used the net proceeds to pay down debt and for other general corporate purposes.</w:t>
      </w:r>
    </w:p>
    <w:p>
      <w:pPr>
        <w:spacing w:after="0" w:line="54" w:lineRule="exact"/>
        <w:rPr>
          <w:sz w:val="20"/>
          <w:szCs w:val="20"/>
          <w:color w:val="auto"/>
        </w:rPr>
      </w:pPr>
    </w:p>
    <w:p>
      <w:pPr>
        <w:ind w:right="200" w:firstLine="433"/>
        <w:spacing w:after="0" w:line="253" w:lineRule="auto"/>
        <w:rPr>
          <w:sz w:val="20"/>
          <w:szCs w:val="20"/>
          <w:color w:val="auto"/>
        </w:rPr>
      </w:pPr>
      <w:r>
        <w:rPr>
          <w:rFonts w:ascii="Times New Roman" w:cs="Times New Roman" w:eastAsia="Times New Roman" w:hAnsi="Times New Roman"/>
          <w:sz w:val="17"/>
          <w:szCs w:val="17"/>
          <w:color w:val="auto"/>
        </w:rPr>
        <w:t>On April 16, 2025, the Company sold a parcel at SanTan Adjacent in Gilbert, Arizona for $3.0 million, which resulted in a loss on sale of assets of $0.2 million. On April 28, 2025, the Company sold various parcels at SanTan Adjacent in Gilbert, Arizona for $24.5 million, which resulted in a gain on sale of assets of $0.1 million. The Company used the net proceeds from these sales to pay down debt and for other general corporate purposes.</w:t>
      </w:r>
    </w:p>
    <w:p>
      <w:pPr>
        <w:spacing w:after="0" w:line="90" w:lineRule="exact"/>
        <w:rPr>
          <w:sz w:val="20"/>
          <w:szCs w:val="20"/>
          <w:color w:val="auto"/>
        </w:rPr>
      </w:pPr>
    </w:p>
    <w:p>
      <w:pPr>
        <w:ind w:right="140" w:firstLine="433"/>
        <w:spacing w:after="0" w:line="265" w:lineRule="auto"/>
        <w:rPr>
          <w:sz w:val="20"/>
          <w:szCs w:val="20"/>
          <w:color w:val="auto"/>
        </w:rPr>
      </w:pPr>
      <w:r>
        <w:rPr>
          <w:rFonts w:ascii="Times New Roman" w:cs="Times New Roman" w:eastAsia="Times New Roman" w:hAnsi="Times New Roman"/>
          <w:sz w:val="17"/>
          <w:szCs w:val="17"/>
          <w:color w:val="auto"/>
        </w:rPr>
        <w:t>On April 30, 2025, the Company sold SouthPark Mall, an 802,000 square foot regional retail center in Moline, Illinois, for $10.5 million, which resulted in a loss on sale of assets of $4.3 million. The Company used the net proceeds for general corporate purposes. This asset was unencumbered.</w:t>
      </w:r>
    </w:p>
    <w:p>
      <w:pPr>
        <w:spacing w:after="0" w:line="80" w:lineRule="exact"/>
        <w:rPr>
          <w:sz w:val="20"/>
          <w:szCs w:val="20"/>
          <w:color w:val="auto"/>
        </w:rPr>
      </w:pPr>
    </w:p>
    <w:p>
      <w:pPr>
        <w:ind w:right="140" w:firstLine="433"/>
        <w:spacing w:after="0" w:line="265" w:lineRule="auto"/>
        <w:rPr>
          <w:sz w:val="20"/>
          <w:szCs w:val="20"/>
          <w:color w:val="auto"/>
        </w:rPr>
      </w:pPr>
      <w:r>
        <w:rPr>
          <w:rFonts w:ascii="Times New Roman" w:cs="Times New Roman" w:eastAsia="Times New Roman" w:hAnsi="Times New Roman"/>
          <w:sz w:val="17"/>
          <w:szCs w:val="17"/>
          <w:color w:val="auto"/>
        </w:rPr>
        <w:t>On May 28, 2025, the Company sold Paradise Village Office Park in Phoenix, Arizona for $6.2 million, which resulted in a loss on sale of assets of $0.6 million. The Company used the net proceeds for general corporate purposes.</w:t>
      </w:r>
    </w:p>
    <w:p>
      <w:pPr>
        <w:spacing w:after="0" w:line="80" w:lineRule="exact"/>
        <w:rPr>
          <w:sz w:val="20"/>
          <w:szCs w:val="20"/>
          <w:color w:val="auto"/>
        </w:rPr>
      </w:pPr>
    </w:p>
    <w:p>
      <w:pPr>
        <w:ind w:firstLine="433"/>
        <w:spacing w:after="0" w:line="281" w:lineRule="auto"/>
        <w:rPr>
          <w:sz w:val="20"/>
          <w:szCs w:val="20"/>
          <w:color w:val="auto"/>
        </w:rPr>
      </w:pPr>
      <w:r>
        <w:rPr>
          <w:rFonts w:ascii="Times New Roman" w:cs="Times New Roman" w:eastAsia="Times New Roman" w:hAnsi="Times New Roman"/>
          <w:sz w:val="17"/>
          <w:szCs w:val="17"/>
          <w:color w:val="auto"/>
        </w:rPr>
        <w:t>On June 11, 2025, the Company sold a former department store parcel located in Petaluma, California, for $2.6 million, which resulted in a gain on sale of assets of $2.0 million. The Company used the net proceeds for general corporate purposes.</w:t>
      </w:r>
    </w:p>
    <w:p>
      <w:pPr>
        <w:spacing w:after="0" w:line="54" w:lineRule="exact"/>
        <w:rPr>
          <w:sz w:val="20"/>
          <w:szCs w:val="20"/>
          <w:color w:val="auto"/>
        </w:rPr>
      </w:pPr>
    </w:p>
    <w:p>
      <w:pPr>
        <w:ind w:right="220" w:firstLine="433"/>
        <w:spacing w:after="0" w:line="281" w:lineRule="auto"/>
        <w:rPr>
          <w:sz w:val="20"/>
          <w:szCs w:val="20"/>
          <w:color w:val="auto"/>
        </w:rPr>
      </w:pPr>
      <w:r>
        <w:rPr>
          <w:rFonts w:ascii="Times New Roman" w:cs="Times New Roman" w:eastAsia="Times New Roman" w:hAnsi="Times New Roman"/>
          <w:sz w:val="17"/>
          <w:szCs w:val="17"/>
          <w:color w:val="auto"/>
        </w:rPr>
        <w:t>On June 30, 2025, the Company sold 1010-1016 Market Street parcels at Fashion District Philadelphia in Philadelphia, Pennsylvania for $10.8 million, which resulted in a gain on sale of assets of $2.4 million. The Company used the net proceeds for general corporate purposes.</w:t>
      </w:r>
    </w:p>
    <w:p>
      <w:pPr>
        <w:spacing w:after="0" w:line="67" w:lineRule="exact"/>
        <w:rPr>
          <w:sz w:val="20"/>
          <w:szCs w:val="20"/>
          <w:color w:val="auto"/>
        </w:rPr>
      </w:pPr>
    </w:p>
    <w:p>
      <w:pPr>
        <w:ind w:right="80" w:firstLine="433"/>
        <w:spacing w:after="0" w:line="265" w:lineRule="auto"/>
        <w:rPr>
          <w:sz w:val="20"/>
          <w:szCs w:val="20"/>
          <w:color w:val="auto"/>
        </w:rPr>
      </w:pPr>
      <w:r>
        <w:rPr>
          <w:rFonts w:ascii="Times New Roman" w:cs="Times New Roman" w:eastAsia="Times New Roman" w:hAnsi="Times New Roman"/>
          <w:sz w:val="17"/>
          <w:szCs w:val="17"/>
          <w:color w:val="auto"/>
        </w:rPr>
        <w:t>On June 30, 2025, the Company sold its remaining 5% effective interest in Paradise Valley Mall in Phoenix, Arizona for $5.5 million, which resulted in a loss on sale of assets of $1.2 million. The Company used the proceeds for general corporate purposes.</w:t>
      </w:r>
    </w:p>
    <w:p>
      <w:pPr>
        <w:spacing w:after="0" w:line="80" w:lineRule="exact"/>
        <w:rPr>
          <w:sz w:val="20"/>
          <w:szCs w:val="20"/>
          <w:color w:val="auto"/>
        </w:rPr>
      </w:pPr>
    </w:p>
    <w:p>
      <w:pPr>
        <w:ind w:right="140" w:firstLine="433"/>
        <w:spacing w:after="0" w:line="245" w:lineRule="auto"/>
        <w:rPr>
          <w:sz w:val="20"/>
          <w:szCs w:val="20"/>
          <w:color w:val="auto"/>
        </w:rPr>
      </w:pPr>
      <w:r>
        <w:rPr>
          <w:rFonts w:ascii="Times New Roman" w:cs="Times New Roman" w:eastAsia="Times New Roman" w:hAnsi="Times New Roman"/>
          <w:sz w:val="17"/>
          <w:szCs w:val="17"/>
          <w:color w:val="auto"/>
        </w:rPr>
        <w:t>On July 30, 2025, the Company's joint venture sold Atlas Park, a 374,000 square foot community center in Queens, New York, for $72.0 million. Concurrent with the sale, the $65.0 million loan ($32.5 million at the Company's share) owed by the joint venture was paid off in full. The Company's share of the gain from this transaction was approximately $12.0 million. The Company used its share of the net proceeds for general corporate purposes.</w:t>
      </w:r>
    </w:p>
    <w:p>
      <w:pPr>
        <w:spacing w:after="0" w:line="96" w:lineRule="exact"/>
        <w:rPr>
          <w:sz w:val="20"/>
          <w:szCs w:val="20"/>
          <w:color w:val="auto"/>
        </w:rPr>
      </w:pPr>
    </w:p>
    <w:p>
      <w:pPr>
        <w:ind w:right="160" w:firstLine="433"/>
        <w:spacing w:after="0" w:line="253" w:lineRule="auto"/>
        <w:rPr>
          <w:sz w:val="20"/>
          <w:szCs w:val="20"/>
          <w:color w:val="auto"/>
        </w:rPr>
      </w:pPr>
      <w:r>
        <w:rPr>
          <w:rFonts w:ascii="Times New Roman" w:cs="Times New Roman" w:eastAsia="Times New Roman" w:hAnsi="Times New Roman"/>
          <w:sz w:val="17"/>
          <w:szCs w:val="17"/>
          <w:color w:val="auto"/>
        </w:rPr>
        <w:t>On August 18, 2025, the Company closed on the sale of Lakewood Center in Lakewood, California, for $332.1 million, including the assumption by the buyer of the $317.1 million loan on the property that had a June 2026 maturity date. The Company recognized a gain on sale of assets of $21.1 million. The Company used its share of net proceeds from this sale, totaling approximately $5.0 million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80" w:firstLine="433"/>
        <w:spacing w:after="0" w:line="246" w:lineRule="auto"/>
        <w:rPr>
          <w:sz w:val="20"/>
          <w:szCs w:val="20"/>
          <w:color w:val="auto"/>
        </w:rPr>
      </w:pPr>
      <w:r>
        <w:rPr>
          <w:rFonts w:ascii="Times New Roman" w:cs="Times New Roman" w:eastAsia="Times New Roman" w:hAnsi="Times New Roman"/>
          <w:sz w:val="17"/>
          <w:szCs w:val="17"/>
          <w:color w:val="auto"/>
        </w:rPr>
        <w:t>On August 20, 2025, the Company closed on the sale of Valley Mall in Harrisburg, Virginia, for $22.1 million, which resulted in a gain on sale of assets of $0.3 million. This asset was unencumbered. The Company used the net proceeds of approximately $20.9 million from this sale for general corporate purposes.</w:t>
      </w:r>
    </w:p>
    <w:p>
      <w:pPr>
        <w:spacing w:after="0" w:line="294" w:lineRule="exact"/>
        <w:rPr>
          <w:sz w:val="20"/>
          <w:szCs w:val="20"/>
          <w:color w:val="auto"/>
        </w:rPr>
      </w:pPr>
    </w:p>
    <w:p>
      <w:pPr>
        <w:ind w:right="140" w:firstLine="433"/>
        <w:spacing w:after="0" w:line="265" w:lineRule="auto"/>
        <w:rPr>
          <w:sz w:val="20"/>
          <w:szCs w:val="20"/>
          <w:color w:val="auto"/>
        </w:rPr>
      </w:pPr>
      <w:r>
        <w:rPr>
          <w:rFonts w:ascii="Times New Roman" w:cs="Times New Roman" w:eastAsia="Times New Roman" w:hAnsi="Times New Roman"/>
          <w:sz w:val="17"/>
          <w:szCs w:val="17"/>
          <w:color w:val="auto"/>
        </w:rPr>
        <w:t>On November 17, 2025, the Company sold an outparcel at Los Cerritos Mall in Los Cerritos, California for $5.0 million, which resulted in a loss on sale of assets of $0.2 million. The Company used the net proceeds to pay down a portion of the debt at the property of $4.5 million.</w:t>
      </w:r>
    </w:p>
    <w:p>
      <w:pPr>
        <w:spacing w:after="0" w:line="80" w:lineRule="exact"/>
        <w:rPr>
          <w:sz w:val="20"/>
          <w:szCs w:val="20"/>
          <w:color w:val="auto"/>
        </w:rPr>
      </w:pPr>
    </w:p>
    <w:p>
      <w:pPr>
        <w:ind w:right="160" w:firstLine="433"/>
        <w:spacing w:after="0" w:line="253" w:lineRule="auto"/>
        <w:rPr>
          <w:sz w:val="20"/>
          <w:szCs w:val="20"/>
          <w:color w:val="auto"/>
        </w:rPr>
      </w:pPr>
      <w:r>
        <w:rPr>
          <w:rFonts w:ascii="Times New Roman" w:cs="Times New Roman" w:eastAsia="Times New Roman" w:hAnsi="Times New Roman"/>
          <w:sz w:val="17"/>
          <w:szCs w:val="17"/>
          <w:color w:val="auto"/>
        </w:rPr>
        <w:t>On December 10, 2025, the Company sold an outparcel at Washington Square in Portland, Oregon for $5.4 million which resulted in a gain on sale of assets of $2.6 million; and on December 19, 2025, the Company sold the retail strip center at Washington Square for $25.8 million, which resulted in a loss on sale of assets of $2.7 million. The Company used the total net proceeds of $29.7 million from these two transactions for general corporate purposes.</w:t>
      </w:r>
    </w:p>
    <w:p>
      <w:pPr>
        <w:spacing w:after="0" w:line="90" w:lineRule="exact"/>
        <w:rPr>
          <w:sz w:val="20"/>
          <w:szCs w:val="20"/>
          <w:color w:val="auto"/>
        </w:rPr>
      </w:pPr>
    </w:p>
    <w:p>
      <w:pPr>
        <w:ind w:right="280" w:firstLine="433"/>
        <w:spacing w:after="0" w:line="245" w:lineRule="auto"/>
        <w:rPr>
          <w:sz w:val="20"/>
          <w:szCs w:val="20"/>
          <w:color w:val="auto"/>
        </w:rPr>
      </w:pPr>
      <w:r>
        <w:rPr>
          <w:rFonts w:ascii="Times New Roman" w:cs="Times New Roman" w:eastAsia="Times New Roman" w:hAnsi="Times New Roman"/>
          <w:sz w:val="17"/>
          <w:szCs w:val="17"/>
          <w:color w:val="auto"/>
        </w:rPr>
        <w:t>For the twelve months ended December 31, 2025, the Company and certain joint venture partners sold various land parcels in separate transactions, resulting in the Company’s share of the gain on sale of land of $7.1 million. The Company used its share of the proceeds from these sales of $20.1 million to pay down debt and for other general corporate purposes.</w:t>
      </w:r>
    </w:p>
    <w:p>
      <w:pPr>
        <w:spacing w:after="0" w:line="96" w:lineRule="exact"/>
        <w:rPr>
          <w:sz w:val="20"/>
          <w:szCs w:val="20"/>
          <w:color w:val="auto"/>
        </w:rPr>
      </w:pPr>
    </w:p>
    <w:p>
      <w:pPr>
        <w:ind w:right="20" w:firstLine="433"/>
        <w:spacing w:after="0" w:line="253" w:lineRule="auto"/>
        <w:rPr>
          <w:sz w:val="20"/>
          <w:szCs w:val="20"/>
          <w:color w:val="auto"/>
        </w:rPr>
      </w:pPr>
      <w:r>
        <w:rPr>
          <w:rFonts w:ascii="Times New Roman" w:cs="Times New Roman" w:eastAsia="Times New Roman" w:hAnsi="Times New Roman"/>
          <w:sz w:val="17"/>
          <w:szCs w:val="17"/>
          <w:color w:val="auto"/>
        </w:rPr>
        <w:t>For the three months ended March 31, 2026, the Company sold a land parcel at Washington Square in Portland, Oregon, for $13.0 million, resulting in the Company’s share of the gain on sale of land of $10.1 million. The Company used its share of the proceeds from this sale of $12.4 million for general corporate purposes.</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47" w:lineRule="exact"/>
        <w:rPr>
          <w:sz w:val="20"/>
          <w:szCs w:val="20"/>
          <w:color w:val="auto"/>
        </w:rPr>
      </w:pPr>
    </w:p>
    <w:p>
      <w:pPr>
        <w:ind w:right="480" w:firstLine="433"/>
        <w:spacing w:after="0" w:line="268" w:lineRule="auto"/>
        <w:rPr>
          <w:sz w:val="20"/>
          <w:szCs w:val="20"/>
          <w:color w:val="auto"/>
        </w:rPr>
      </w:pPr>
      <w:r>
        <w:rPr>
          <w:rFonts w:ascii="Times New Roman" w:cs="Times New Roman" w:eastAsia="Times New Roman" w:hAnsi="Times New Roman"/>
          <w:sz w:val="17"/>
          <w:szCs w:val="17"/>
          <w:color w:val="auto"/>
        </w:rPr>
        <w:t>On February 7, 2025, the Company's joint venture in Flatiron Crossing repaid in full the $14.5 million mezzanine loan and $14.5 million of the first mortgage, and obtained a 90-day extension for the remaining $140.5 million of the first mortgage. The mezzanine loan had an interest rate of SOFR plus</w:t>
      </w:r>
    </w:p>
    <w:p>
      <w:pPr>
        <w:spacing w:after="0" w:line="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12.25% and the first mortgage had an interest rate of SOFR plus 2.90% for a weighted average aggregate interest rate of SOFR plus 3.70%. The interest rate on the first mortgage was SOFR plus 2.90% during the extension period. On March 28, 2025, the Company's joint venture in Flatiron Crossing repaid in full the remaining $140.5 million ($71.6 million at the Company's share) of the first mortgage, as discussed below.</w:t>
      </w:r>
    </w:p>
    <w:p>
      <w:pPr>
        <w:spacing w:after="0" w:line="106" w:lineRule="exact"/>
        <w:rPr>
          <w:sz w:val="20"/>
          <w:szCs w:val="20"/>
          <w:color w:val="auto"/>
        </w:rPr>
      </w:pPr>
    </w:p>
    <w:p>
      <w:pPr>
        <w:ind w:right="120" w:firstLine="433"/>
        <w:spacing w:after="0" w:line="270" w:lineRule="auto"/>
        <w:rPr>
          <w:sz w:val="20"/>
          <w:szCs w:val="20"/>
          <w:color w:val="auto"/>
        </w:rPr>
      </w:pPr>
      <w:r>
        <w:rPr>
          <w:rFonts w:ascii="Times New Roman" w:cs="Times New Roman" w:eastAsia="Times New Roman" w:hAnsi="Times New Roman"/>
          <w:sz w:val="17"/>
          <w:szCs w:val="17"/>
          <w:color w:val="auto"/>
        </w:rPr>
        <w:t>On March 27, 2025, the Company closed a $340.0 million, ten-year loan on Washington Square, which matures on April 6, 2035. The loan bears interest at a fixed rate of 5.58% and is interest only during the entire loan term. The Company used a portion of the net proceeds from this refinancing to repay the remaining first mortgage on Flatiron Crossing, which was $71.6 million at the Company’s share, and to repay the balance outstanding on the Company’s revolving credit facility of $110.0 million.</w:t>
      </w:r>
    </w:p>
    <w:p>
      <w:pPr>
        <w:spacing w:after="0" w:line="104" w:lineRule="exact"/>
        <w:rPr>
          <w:sz w:val="20"/>
          <w:szCs w:val="20"/>
          <w:color w:val="auto"/>
        </w:rPr>
      </w:pPr>
    </w:p>
    <w:p>
      <w:pPr>
        <w:ind w:right="700" w:firstLine="433"/>
        <w:spacing w:after="0" w:line="297" w:lineRule="auto"/>
        <w:rPr>
          <w:sz w:val="20"/>
          <w:szCs w:val="20"/>
          <w:color w:val="auto"/>
        </w:rPr>
      </w:pPr>
      <w:r>
        <w:rPr>
          <w:rFonts w:ascii="Times New Roman" w:cs="Times New Roman" w:eastAsia="Times New Roman" w:hAnsi="Times New Roman"/>
          <w:sz w:val="17"/>
          <w:szCs w:val="17"/>
          <w:color w:val="auto"/>
        </w:rPr>
        <w:t>On July 30, 2025, the Company's joint venture in Atlas Park repaid in full the $65.0 million loan ($32.5 million at the Company's pro rata share) concurrent with the sale of the property (See "Dispositions").</w:t>
      </w:r>
    </w:p>
    <w:p>
      <w:pPr>
        <w:spacing w:after="0" w:line="67"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On August 7, 2025, the Company closed on an initial $159.1 million two-year term loan with two one-year extension options on Crabtree Mall. The term loan also allows for additional requested advances of up to $51.2 million based on defined conditions for capital expenditures and leasing costs for a maximum total term loan of $210.3 million. The term loan bears interest at a rate of SOFR plus 2.50%. The Company has purchased a SOFR interest rate cap for the initial term loan advance with a strike rate of 5.0% for the two-year base term of the term loan. The Company used a portion of the net proceeds from this term loan to fully repay borrowings outstanding on the Company's revolving credit facility (See Note 14 – Acquisitions and Note 11 – Bank and Other Notes Payable).</w:t>
      </w:r>
    </w:p>
    <w:p>
      <w:pPr>
        <w:spacing w:after="0" w:line="106" w:lineRule="exact"/>
        <w:rPr>
          <w:sz w:val="20"/>
          <w:szCs w:val="20"/>
          <w:color w:val="auto"/>
        </w:rPr>
      </w:pPr>
    </w:p>
    <w:p>
      <w:pPr>
        <w:ind w:right="560" w:firstLine="433"/>
        <w:spacing w:after="0" w:line="297" w:lineRule="auto"/>
        <w:rPr>
          <w:sz w:val="20"/>
          <w:szCs w:val="20"/>
          <w:color w:val="auto"/>
        </w:rPr>
      </w:pPr>
      <w:r>
        <w:rPr>
          <w:rFonts w:ascii="Times New Roman" w:cs="Times New Roman" w:eastAsia="Times New Roman" w:hAnsi="Times New Roman"/>
          <w:sz w:val="17"/>
          <w:szCs w:val="17"/>
          <w:color w:val="auto"/>
        </w:rPr>
        <w:t>On August 18, 2025, as part of the sale of Lakewood Center, the Company's remaining loan of $317.1 million on the property was assumed by the purchaser (See "Dispositions").</w:t>
      </w:r>
    </w:p>
    <w:p>
      <w:pPr>
        <w:spacing w:after="0" w:line="80" w:lineRule="exact"/>
        <w:rPr>
          <w:sz w:val="20"/>
          <w:szCs w:val="20"/>
          <w:color w:val="auto"/>
        </w:rPr>
      </w:pPr>
    </w:p>
    <w:p>
      <w:pPr>
        <w:ind w:right="140" w:firstLine="433"/>
        <w:spacing w:after="0" w:line="297" w:lineRule="auto"/>
        <w:rPr>
          <w:sz w:val="20"/>
          <w:szCs w:val="20"/>
          <w:color w:val="auto"/>
        </w:rPr>
      </w:pPr>
      <w:r>
        <w:rPr>
          <w:rFonts w:ascii="Times New Roman" w:cs="Times New Roman" w:eastAsia="Times New Roman" w:hAnsi="Times New Roman"/>
          <w:sz w:val="17"/>
          <w:szCs w:val="17"/>
          <w:color w:val="auto"/>
        </w:rPr>
        <w:t>On February 6, 2026, the Company extended the loan maturity on the $200.0 million loan at South Plains Mall to November 6, 2029, at the existing rate of 4.22%. The loan was previously in default as of November 6, 2025.</w:t>
      </w:r>
    </w:p>
    <w:p>
      <w:pPr>
        <w:spacing w:after="0" w:line="67"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Effective February 6, 2026, the $76.5 million loan (at the Company’s pro rata share) at Twenty Ninth Street is in default. The Company’s joint venture is in negotiations with the lender on the terms of this loan.</w:t>
      </w:r>
    </w:p>
    <w:p>
      <w:pPr>
        <w:spacing w:after="0" w:line="80"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On February 24, 2026, the Company closed an amended and restated $900 million revolving credit facility. The Company increased the size of the facility from $650 million to $900 million, extended the maturity from February 2027 to March 2030 (inclusive of a 12-month extension option), and lowered the current pricing grid from a spread range of 200 to 250 basis points over SOFR to 180 to 220 basis points over SOFR. Upon the achievement of certain performance thresholds, the spreads will be further reduced to a range of 135 to 165 basis points over SOFR (See "Liquidity and Capital Resources").</w:t>
      </w:r>
    </w:p>
    <w:p>
      <w:pPr>
        <w:spacing w:after="0" w:line="104" w:lineRule="exact"/>
        <w:rPr>
          <w:sz w:val="20"/>
          <w:szCs w:val="20"/>
          <w:color w:val="auto"/>
        </w:rPr>
      </w:pPr>
    </w:p>
    <w:p>
      <w:pPr>
        <w:ind w:right="200" w:firstLine="433"/>
        <w:spacing w:after="0" w:line="297" w:lineRule="auto"/>
        <w:rPr>
          <w:sz w:val="20"/>
          <w:szCs w:val="20"/>
          <w:color w:val="auto"/>
        </w:rPr>
      </w:pPr>
      <w:r>
        <w:rPr>
          <w:rFonts w:ascii="Times New Roman" w:cs="Times New Roman" w:eastAsia="Times New Roman" w:hAnsi="Times New Roman"/>
          <w:sz w:val="17"/>
          <w:szCs w:val="17"/>
          <w:color w:val="auto"/>
        </w:rPr>
        <w:t>On March 6, 2026, the Company repaid the outstanding loan balance of $211.5 million on the loan on Vintage Faire Mall at maturity with cash on hand and $100.0 million of borrowings on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firstLine="433"/>
        <w:spacing w:after="0" w:line="289" w:lineRule="auto"/>
        <w:rPr>
          <w:sz w:val="20"/>
          <w:szCs w:val="20"/>
          <w:color w:val="auto"/>
        </w:rPr>
      </w:pPr>
      <w:r>
        <w:rPr>
          <w:rFonts w:ascii="Times New Roman" w:cs="Times New Roman" w:eastAsia="Times New Roman" w:hAnsi="Times New Roman"/>
          <w:sz w:val="17"/>
          <w:szCs w:val="17"/>
          <w:color w:val="auto"/>
        </w:rPr>
        <w:t>On April 7, 2026, the Company’s joint venture replaced the existing $131.2 million ($66.9 million at the Company’s pro rata share) loan on Deptford Mall with a new $115.0 million interest only loan ($58.7 million at the Company’s pro rata share) that bears interest at a fixed rate of 6.95% and matures on May 6, 2031.</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Redevelopment and Development Activities:</w:t>
      </w:r>
    </w:p>
    <w:p>
      <w:pPr>
        <w:spacing w:after="0" w:line="161" w:lineRule="exact"/>
        <w:rPr>
          <w:sz w:val="20"/>
          <w:szCs w:val="20"/>
          <w:color w:val="auto"/>
        </w:rPr>
      </w:pPr>
    </w:p>
    <w:p>
      <w:pPr>
        <w:ind w:right="240" w:firstLine="433"/>
        <w:spacing w:after="0" w:line="267" w:lineRule="auto"/>
        <w:rPr>
          <w:sz w:val="20"/>
          <w:szCs w:val="20"/>
          <w:color w:val="auto"/>
        </w:rPr>
      </w:pPr>
      <w:r>
        <w:rPr>
          <w:rFonts w:ascii="Times New Roman" w:cs="Times New Roman" w:eastAsia="Times New Roman" w:hAnsi="Times New Roman"/>
          <w:sz w:val="17"/>
          <w:szCs w:val="17"/>
          <w:color w:val="auto"/>
        </w:rPr>
        <w:t>The Company’s joint venture in Scottsdale Fashion Square, a 1,875,000 square foot regional retail center in Scottsdale, Arizona, is redeveloping a two-level Nordstrom wing with luxury-focused retail and restaurant uses. The total cost of the project is estimated to be between $84.0 million and $90.0 million, with $42.0 million to $45.0 million estimated to be the Company’s pro rata share. The Company has incurred approximately $34.3 million of the total $68.6 million incurred by the joint venture as of March 31, 2026. The opening will be in phases which began in 2024, with anticipated completion in 2027. The majority of tenants are expected to be open in 2026, with a few remaining tenants expected to open in early 2027.</w:t>
      </w:r>
    </w:p>
    <w:p>
      <w:pPr>
        <w:spacing w:after="0" w:line="106" w:lineRule="exact"/>
        <w:rPr>
          <w:sz w:val="20"/>
          <w:szCs w:val="20"/>
          <w:color w:val="auto"/>
        </w:rPr>
      </w:pPr>
    </w:p>
    <w:p>
      <w:pPr>
        <w:jc w:val="both"/>
        <w:ind w:right="20" w:firstLine="433"/>
        <w:spacing w:after="0" w:line="270" w:lineRule="auto"/>
        <w:rPr>
          <w:sz w:val="20"/>
          <w:szCs w:val="20"/>
          <w:color w:val="auto"/>
        </w:rPr>
      </w:pPr>
      <w:r>
        <w:rPr>
          <w:rFonts w:ascii="Times New Roman" w:cs="Times New Roman" w:eastAsia="Times New Roman" w:hAnsi="Times New Roman"/>
          <w:sz w:val="17"/>
          <w:szCs w:val="17"/>
          <w:color w:val="auto"/>
        </w:rPr>
        <w:t>The Company is redeveloping the northeast quadrant of Green Acres Mall, a 1,899,000 square foot regional retail center in Valley Stream, New York. The project will include new exterior shops and facade totaling approximately 375,000 square feet of leasing, including new grocery use, redevelopment of a vacant anchor building and demolition of another vacant anchor building. The total cost of the project is estimated to be between $130.0 million and $150.0 million. The Company has incurred approximately $51.8 million as of March 31, 2026. The majority of the tenants are expected to open in 2026 or 2027.</w:t>
      </w:r>
    </w:p>
    <w:p>
      <w:pPr>
        <w:spacing w:after="0" w:line="91" w:lineRule="exact"/>
        <w:rPr>
          <w:sz w:val="20"/>
          <w:szCs w:val="20"/>
          <w:color w:val="auto"/>
        </w:rPr>
      </w:pPr>
    </w:p>
    <w:p>
      <w:pPr>
        <w:ind w:right="60" w:firstLine="433"/>
        <w:spacing w:after="0" w:line="265" w:lineRule="auto"/>
        <w:rPr>
          <w:sz w:val="20"/>
          <w:szCs w:val="20"/>
          <w:color w:val="auto"/>
        </w:rPr>
      </w:pPr>
      <w:r>
        <w:rPr>
          <w:rFonts w:ascii="Times New Roman" w:cs="Times New Roman" w:eastAsia="Times New Roman" w:hAnsi="Times New Roman"/>
          <w:sz w:val="17"/>
          <w:szCs w:val="17"/>
          <w:color w:val="auto"/>
        </w:rPr>
        <w:t>The Company’s joint venture in FlatIron Crossing, a 1,400,000 square foot regional retail center in Broomfield, Colorado, is developing luxury, multi-family residential units, new/repurposed retail and food and beverage uses, and a community plaza, in addition to the redevelopment of the vacant former Nordstrom store located on the property. The Company's ownership percentage is 43.4% in the residential portion of the development and 51.0% in the remainder of the property. The total cost of the project is estimated to be between $245.0 million and $265.0 million, with $125.0 million to $135.0 million estimated to be the Company’s pro rata share. The Company has incurred approximately $37.8 million of the total $80.0 million incurred by the joint venture as of March 31, 2026. The anticipated opening will be in phases beginning in 2027.</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Other Transactions and Events:</w:t>
      </w:r>
    </w:p>
    <w:p>
      <w:pPr>
        <w:spacing w:after="0" w:line="161"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The Company declared a cash dividend of $0.17 per share of its common stock for each quarter of 2025. On February 12, 2026, the Company announced a first quarter cash dividend of $0.17 per share of its common stock, which was paid on March 30, 2026 to stockholders of record on March 16, 2026. On May 4, 2026, the Company announced a second quarter cash dividend of $0.17 per share of its common stock, which will be paid on June 29, 2026 to stockholders of record on June 15, 2026. The dividend amount will be reviewed by the Board on a quarterly basis.</w:t>
      </w:r>
    </w:p>
    <w:p>
      <w:pPr>
        <w:spacing w:after="0" w:line="91" w:lineRule="exact"/>
        <w:rPr>
          <w:sz w:val="20"/>
          <w:szCs w:val="20"/>
          <w:color w:val="auto"/>
        </w:rPr>
      </w:pPr>
    </w:p>
    <w:p>
      <w:pPr>
        <w:ind w:right="60" w:firstLine="433"/>
        <w:spacing w:after="0" w:line="263" w:lineRule="auto"/>
        <w:rPr>
          <w:sz w:val="20"/>
          <w:szCs w:val="20"/>
          <w:color w:val="auto"/>
        </w:rPr>
      </w:pPr>
      <w:r>
        <w:rPr>
          <w:rFonts w:ascii="Times New Roman" w:cs="Times New Roman" w:eastAsia="Times New Roman" w:hAnsi="Times New Roman"/>
          <w:sz w:val="17"/>
          <w:szCs w:val="17"/>
          <w:color w:val="auto"/>
        </w:rPr>
        <w:t>In connection with the commencement of an “at the market” offering program on November 12, 2024, which is referred to as the “2024 ATM Program,” the Company entered into an equity distribution agreement with certain sales agents pursuant to which the Company may issue and sell shares of its common stock having an aggregate offering price of up to $500.0 million. During the twelve months ended December 31, 2025, the Company sold 3.1 million shares of common stock for approximately $53.9 million of net proceeds through the 2024 ATM Program at a weighted average price of $18.04. During the three months ended March 31, 2026, the Company sold 3.5 million shares of common stock for approximately $65.5 million of net proceeds through the 2024 ATM Program at a weighted average price of $19.00. As of March 31, 2026, the Company had approximately $307.3 million of gross sales of its common stock available under the 2024 ATM Program. Subsequent to quarter end, the Company sold 0.9 million shares of common stock for approximately $18.3 million of net proceeds through the 2024 ATM Program at a weighted average price of $19.99 per share.</w:t>
      </w:r>
    </w:p>
    <w:p>
      <w:pPr>
        <w:spacing w:after="0" w:line="109" w:lineRule="exact"/>
        <w:rPr>
          <w:sz w:val="20"/>
          <w:szCs w:val="20"/>
          <w:color w:val="auto"/>
        </w:rPr>
      </w:pPr>
    </w:p>
    <w:p>
      <w:pPr>
        <w:ind w:right="180" w:firstLine="433"/>
        <w:spacing w:after="0" w:line="297" w:lineRule="auto"/>
        <w:rPr>
          <w:sz w:val="20"/>
          <w:szCs w:val="20"/>
          <w:color w:val="auto"/>
        </w:rPr>
      </w:pPr>
      <w:r>
        <w:rPr>
          <w:rFonts w:ascii="Times New Roman" w:cs="Times New Roman" w:eastAsia="Times New Roman" w:hAnsi="Times New Roman"/>
          <w:sz w:val="17"/>
          <w:szCs w:val="17"/>
          <w:color w:val="auto"/>
        </w:rPr>
        <w:t>See “—Liquidity and Capital Resources” for a further discussion of the Company’s anticipated liquidity needs, and the measures taken by the Company to meet those needs.</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Inflation:</w:t>
      </w:r>
    </w:p>
    <w:p>
      <w:pPr>
        <w:spacing w:after="0" w:line="147"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color w:val="auto"/>
        </w:rPr>
        <w:t>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 Inflation had a negative impact on the Company's costs in 2025 and is expected to have a negative impact on the Company's costs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47" w:lineRule="exact"/>
        <w:rPr>
          <w:sz w:val="20"/>
          <w:szCs w:val="20"/>
          <w:color w:val="auto"/>
        </w:rPr>
      </w:pPr>
    </w:p>
    <w:p>
      <w:pPr>
        <w:ind w:right="60" w:firstLine="433"/>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prepared in accordance with generally accepted accounting principles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04" w:lineRule="exact"/>
        <w:rPr>
          <w:sz w:val="20"/>
          <w:szCs w:val="20"/>
          <w:color w:val="auto"/>
        </w:rPr>
      </w:pPr>
    </w:p>
    <w:p>
      <w:pPr>
        <w:ind w:right="40" w:firstLine="433"/>
        <w:spacing w:after="0" w:line="270" w:lineRule="auto"/>
        <w:rPr>
          <w:sz w:val="20"/>
          <w:szCs w:val="20"/>
          <w:color w:val="auto"/>
        </w:rPr>
      </w:pPr>
      <w:r>
        <w:rPr>
          <w:rFonts w:ascii="Times New Roman" w:cs="Times New Roman" w:eastAsia="Times New Roman" w:hAnsi="Times New Roman"/>
          <w:sz w:val="17"/>
          <w:szCs w:val="17"/>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and estimates are described in more detail in Note 2—Summary of Significant Accounting Policies in the Company's Notes to the Consolidated Financial Statements. However, the following policies are deemed to be critical:</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Acquisitions:</w:t>
      </w:r>
    </w:p>
    <w:p>
      <w:pPr>
        <w:spacing w:after="0" w:line="147" w:lineRule="exact"/>
        <w:rPr>
          <w:sz w:val="20"/>
          <w:szCs w:val="20"/>
          <w:color w:val="auto"/>
        </w:rPr>
      </w:pPr>
    </w:p>
    <w:p>
      <w:pPr>
        <w:ind w:firstLine="433"/>
        <w:spacing w:after="0" w:line="259" w:lineRule="auto"/>
        <w:rPr>
          <w:sz w:val="20"/>
          <w:szCs w:val="20"/>
          <w:color w:val="auto"/>
        </w:rPr>
      </w:pPr>
      <w:r>
        <w:rPr>
          <w:rFonts w:ascii="Times New Roman" w:cs="Times New Roman" w:eastAsia="Times New Roman" w:hAnsi="Times New Roman"/>
          <w:sz w:val="17"/>
          <w:szCs w:val="17"/>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121" w:lineRule="exact"/>
        <w:rPr>
          <w:sz w:val="20"/>
          <w:szCs w:val="20"/>
          <w:color w:val="auto"/>
        </w:rPr>
      </w:pPr>
    </w:p>
    <w:p>
      <w:pPr>
        <w:ind w:right="180" w:firstLine="433"/>
        <w:spacing w:after="0" w:line="270" w:lineRule="auto"/>
        <w:rPr>
          <w:sz w:val="20"/>
          <w:szCs w:val="20"/>
          <w:color w:val="auto"/>
        </w:rPr>
      </w:pPr>
      <w:r>
        <w:rPr>
          <w:rFonts w:ascii="Times New Roman" w:cs="Times New Roman" w:eastAsia="Times New Roman" w:hAnsi="Times New Roman"/>
          <w:sz w:val="17"/>
          <w:szCs w:val="17"/>
          <w:color w:val="auto"/>
        </w:rPr>
        <w:t>Remeasurement gains are recognized when the Company becomes the primary beneficiary of an existing equity method investment that is a variable interest entity to the extent that the fair value of the existing equity investment exceeds the carrying value of the investment, and remeasurement losses are recognized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Asset Impairment:</w:t>
      </w:r>
    </w:p>
    <w:p>
      <w:pPr>
        <w:spacing w:after="0" w:line="147"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capitalization rates and estimated holding periods. The Company generally holds and operates its properties long-term, which decreases the likelihood of their carrying values not being recoverable. Changes in events or changes in circumstances may alter the expected hold period of an asset or asset group, which may result in an impairment loss and such loss could be material to the Company’s financial condition or operating performance. If the carrying value of the property exceeds the estimated undiscounted cash flows, an impairment loss is recognized equal to the excess of carrying value over its estimated fair value. Properties classified as held for sale are measured at the lower of the carrying amount or fair value less cost to sell.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40" w:firstLine="433"/>
        <w:spacing w:after="0" w:line="277" w:lineRule="auto"/>
        <w:rPr>
          <w:sz w:val="20"/>
          <w:szCs w:val="20"/>
          <w:color w:val="auto"/>
        </w:rPr>
      </w:pPr>
      <w:r>
        <w:rPr>
          <w:rFonts w:ascii="Times New Roman" w:cs="Times New Roman" w:eastAsia="Times New Roman" w:hAnsi="Times New Roman"/>
          <w:sz w:val="17"/>
          <w:szCs w:val="17"/>
          <w:color w:val="auto"/>
        </w:rPr>
        <w:t>The estimated fair value of a property is typically determined through a discounted cash flow analysis or based upon a contracted sales price. The discounted cash flow method includes significant unobservable inputs including the discount rate, terminal capitalization rate and market rents. Cash flow projections and rates are subject to management’s judgment and changes in those assumptions could impact the estimation of fair value.</w:t>
      </w:r>
    </w:p>
    <w:p>
      <w:pPr>
        <w:spacing w:after="0" w:line="84" w:lineRule="exact"/>
        <w:rPr>
          <w:sz w:val="20"/>
          <w:szCs w:val="20"/>
          <w:color w:val="auto"/>
        </w:rPr>
      </w:pPr>
    </w:p>
    <w:p>
      <w:pPr>
        <w:ind w:firstLine="433"/>
        <w:spacing w:after="0" w:line="269" w:lineRule="auto"/>
        <w:rPr>
          <w:sz w:val="20"/>
          <w:szCs w:val="20"/>
          <w:color w:val="auto"/>
        </w:rPr>
      </w:pPr>
      <w:r>
        <w:rPr>
          <w:rFonts w:ascii="Times New Roman" w:cs="Times New Roman" w:eastAsia="Times New Roman" w:hAnsi="Times New Roman"/>
          <w:sz w:val="17"/>
          <w:szCs w:val="17"/>
          <w:color w:val="auto"/>
        </w:rPr>
        <w:t>The Company’s investments in unconsolidated joint ventures apply the same accounting model for property level impairment as described above. Further, 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 The Company records any such impairment up to the extent of its investment.</w:t>
      </w:r>
    </w:p>
    <w:p>
      <w:pPr>
        <w:spacing w:after="0" w:line="3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Fair Value of Financial Instruments:</w:t>
      </w:r>
    </w:p>
    <w:p>
      <w:pPr>
        <w:spacing w:after="0" w:line="161" w:lineRule="exact"/>
        <w:rPr>
          <w:sz w:val="20"/>
          <w:szCs w:val="20"/>
          <w:color w:val="auto"/>
        </w:rPr>
      </w:pPr>
    </w:p>
    <w:p>
      <w:pPr>
        <w:ind w:right="140" w:firstLine="433"/>
        <w:spacing w:after="0" w:line="297" w:lineRule="auto"/>
        <w:rPr>
          <w:sz w:val="20"/>
          <w:szCs w:val="20"/>
          <w:color w:val="auto"/>
        </w:rPr>
      </w:pPr>
      <w:r>
        <w:rPr>
          <w:rFonts w:ascii="Times New Roman" w:cs="Times New Roman" w:eastAsia="Times New Roman" w:hAnsi="Times New Roman"/>
          <w:sz w:val="17"/>
          <w:szCs w:val="17"/>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67" w:lineRule="exact"/>
        <w:rPr>
          <w:sz w:val="20"/>
          <w:szCs w:val="20"/>
          <w:color w:val="auto"/>
        </w:rPr>
      </w:pPr>
    </w:p>
    <w:p>
      <w:pPr>
        <w:ind w:firstLine="433"/>
        <w:spacing w:after="0" w:line="263" w:lineRule="auto"/>
        <w:rPr>
          <w:sz w:val="20"/>
          <w:szCs w:val="20"/>
          <w:color w:val="auto"/>
        </w:rPr>
      </w:pPr>
      <w:r>
        <w:rPr>
          <w:rFonts w:ascii="Times New Roman" w:cs="Times New Roman" w:eastAsia="Times New Roman" w:hAnsi="Times New Roman"/>
          <w:sz w:val="17"/>
          <w:szCs w:val="17"/>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09" w:lineRule="exact"/>
        <w:rPr>
          <w:sz w:val="20"/>
          <w:szCs w:val="20"/>
          <w:color w:val="auto"/>
        </w:rPr>
      </w:pPr>
    </w:p>
    <w:p>
      <w:pPr>
        <w:ind w:right="360" w:firstLine="433"/>
        <w:spacing w:after="0" w:line="277" w:lineRule="auto"/>
        <w:rPr>
          <w:sz w:val="20"/>
          <w:szCs w:val="20"/>
          <w:color w:val="auto"/>
        </w:rPr>
      </w:pPr>
      <w:r>
        <w:rPr>
          <w:rFonts w:ascii="Times New Roman" w:cs="Times New Roman" w:eastAsia="Times New Roman" w:hAnsi="Times New Roman"/>
          <w:sz w:val="17"/>
          <w:szCs w:val="17"/>
          <w:color w:val="auto"/>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4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Many of the variations in the results of operations, discussed below, occurred because of the transactions affecting the Company’s properties described in Management’s Overview and Summary above, including those related to the Redevelopment Properties, the Acquisition Property, the JV Transition Centers and the Disposition Properties (each as defined below).</w:t>
      </w:r>
    </w:p>
    <w:p>
      <w:pPr>
        <w:spacing w:after="0" w:line="97" w:lineRule="exact"/>
        <w:rPr>
          <w:sz w:val="20"/>
          <w:szCs w:val="20"/>
          <w:color w:val="auto"/>
        </w:rPr>
      </w:pPr>
    </w:p>
    <w:p>
      <w:pPr>
        <w:ind w:right="80" w:firstLine="433"/>
        <w:spacing w:after="0" w:line="262" w:lineRule="auto"/>
        <w:rPr>
          <w:sz w:val="20"/>
          <w:szCs w:val="20"/>
          <w:color w:val="auto"/>
        </w:rPr>
      </w:pPr>
      <w:r>
        <w:rPr>
          <w:rFonts w:ascii="Times New Roman" w:cs="Times New Roman" w:eastAsia="Times New Roman" w:hAnsi="Times New Roman"/>
          <w:sz w:val="17"/>
          <w:szCs w:val="17"/>
          <w:color w:val="auto"/>
        </w:rPr>
        <w:t>For purposes of the discussion below, the Company defines “Same Centers” as those Centers that are substantially complete and in operation for the entirety of both periods of the comparison. Non-Same Centers for comparison purposes includes a recently acquired property ("Acquisition Property"),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Santa Monica Place and the Disposition Properties, for the periods of comparison. Santa Monica Place is excluded from Same Centers due to the Company's default on the non-recourse loan on April 9, 2024 and the completion of the transition of the property to a receiver during the first quarter of 2025. The Company is still the owner of record of the property.</w:t>
      </w:r>
    </w:p>
    <w:p>
      <w:pPr>
        <w:spacing w:after="0" w:line="112" w:lineRule="exact"/>
        <w:rPr>
          <w:sz w:val="20"/>
          <w:szCs w:val="20"/>
          <w:color w:val="auto"/>
        </w:rPr>
      </w:pPr>
    </w:p>
    <w:p>
      <w:pPr>
        <w:ind w:right="60" w:firstLine="433"/>
        <w:spacing w:after="0" w:line="267" w:lineRule="auto"/>
        <w:rPr>
          <w:sz w:val="20"/>
          <w:szCs w:val="20"/>
          <w:color w:val="auto"/>
        </w:rPr>
      </w:pPr>
      <w:r>
        <w:rPr>
          <w:rFonts w:ascii="Times New Roman" w:cs="Times New Roman" w:eastAsia="Times New Roman" w:hAnsi="Times New Roman"/>
          <w:sz w:val="17"/>
          <w:szCs w:val="17"/>
          <w:color w:val="auto"/>
        </w:rPr>
        <w:t>For the comparison of the three months ended March 31, 2026 to the three months ended March 31, 2025, the Acquisition Property is Crabtree Mall (See “Acquisitions” in Management’s Overview and Summary). The Disposition Properties are Wilton Mall, Southpark Mall, Lakewood Center, Valley Mall, a former department store parcel in Petaluma, California and the outparcel sales at Los Cerritos Mall in Los Cerritos, California and Washington Square in Portland, Oregon (See "Dispositions" in Management’s Overview and Summary). For the comparison of the three months ended March 31, 2026 to the three months ended March 31, 2025, there are no Redevelopment Properties or JV Transition Centers.</w:t>
      </w:r>
    </w:p>
    <w:p>
      <w:pPr>
        <w:spacing w:after="0" w:line="93" w:lineRule="exact"/>
        <w:rPr>
          <w:sz w:val="20"/>
          <w:szCs w:val="20"/>
          <w:color w:val="auto"/>
        </w:rPr>
      </w:pPr>
    </w:p>
    <w:p>
      <w:pPr>
        <w:ind w:right="380" w:firstLine="433"/>
        <w:spacing w:after="0" w:line="297" w:lineRule="auto"/>
        <w:rPr>
          <w:sz w:val="20"/>
          <w:szCs w:val="20"/>
          <w:color w:val="auto"/>
        </w:rPr>
      </w:pPr>
      <w:r>
        <w:rPr>
          <w:rFonts w:ascii="Times New Roman" w:cs="Times New Roman" w:eastAsia="Times New Roman" w:hAnsi="Times New Roman"/>
          <w:sz w:val="17"/>
          <w:szCs w:val="17"/>
          <w:color w:val="auto"/>
        </w:rPr>
        <w:t>Unconsolidated joint ventures are reflected using the equity method of accounting. The Company’s pro rata share of the results from these Centers is reflected in the Consolidated Statements of Operations as equity in loss of unconsolidated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20" w:firstLine="433"/>
        <w:spacing w:after="0" w:line="297" w:lineRule="auto"/>
        <w:rPr>
          <w:sz w:val="20"/>
          <w:szCs w:val="20"/>
          <w:color w:val="auto"/>
        </w:rPr>
      </w:pPr>
      <w:r>
        <w:rPr>
          <w:rFonts w:ascii="Times New Roman" w:cs="Times New Roman" w:eastAsia="Times New Roman" w:hAnsi="Times New Roman"/>
          <w:sz w:val="17"/>
          <w:szCs w:val="17"/>
          <w:color w:val="auto"/>
        </w:rPr>
        <w:t>The Company considers tenant annual sales and occupancy rates (excluding large retail stores or “Anchors”) to be key performance indicators of the Company’s internal growth.</w:t>
      </w:r>
    </w:p>
    <w:p>
      <w:pPr>
        <w:spacing w:after="0" w:line="67" w:lineRule="exact"/>
        <w:rPr>
          <w:sz w:val="20"/>
          <w:szCs w:val="20"/>
          <w:color w:val="auto"/>
        </w:rPr>
      </w:pPr>
    </w:p>
    <w:p>
      <w:pPr>
        <w:ind w:right="20" w:firstLine="433"/>
        <w:spacing w:after="0" w:line="277" w:lineRule="auto"/>
        <w:rPr>
          <w:sz w:val="20"/>
          <w:szCs w:val="20"/>
          <w:color w:val="auto"/>
        </w:rPr>
      </w:pPr>
      <w:r>
        <w:rPr>
          <w:rFonts w:ascii="Times New Roman" w:cs="Times New Roman" w:eastAsia="Times New Roman" w:hAnsi="Times New Roman"/>
          <w:sz w:val="17"/>
          <w:szCs w:val="17"/>
          <w:color w:val="auto"/>
        </w:rPr>
        <w:t>During the trailing twelve months ended March 31, 2026, comparable tenant sales for spaces less than 10,000 square feet across the portfolio increased by 3.8% relative to the first quarter of 2025. The leased occupancy rate of 93.4% at March 31, 2026 represented a 0.8% increase from 92.6% at March 31, 2025 and a 0.6% sequential decrease compared to the 94.0% occupancy rate at December 31, 2025.</w:t>
      </w:r>
    </w:p>
    <w:p>
      <w:pPr>
        <w:spacing w:after="0" w:line="97" w:lineRule="exact"/>
        <w:rPr>
          <w:sz w:val="20"/>
          <w:szCs w:val="20"/>
          <w:color w:val="auto"/>
        </w:rPr>
      </w:pPr>
    </w:p>
    <w:p>
      <w:pPr>
        <w:ind w:right="40" w:firstLine="433"/>
        <w:spacing w:after="0" w:line="277" w:lineRule="auto"/>
        <w:rPr>
          <w:sz w:val="20"/>
          <w:szCs w:val="20"/>
          <w:color w:val="auto"/>
        </w:rPr>
      </w:pPr>
      <w:r>
        <w:rPr>
          <w:rFonts w:ascii="Times New Roman" w:cs="Times New Roman" w:eastAsia="Times New Roman" w:hAnsi="Times New Roman"/>
          <w:sz w:val="17"/>
          <w:szCs w:val="17"/>
          <w:color w:val="auto"/>
        </w:rPr>
        <w:t>As of March 31, 2026, the Company has executed renewal leases or commitments on 90% of its square footage expiring in 2026, that is anticipated to renew, which leases are expected to commence throughout 2026 and 2027 and another 9% of such expiring space is in the letter of intent stage. Excluding those leases, the remaining leases expiring in 2026, which represent approximately 16,000 square feet of the Centers, are in the prospecting stage.</w:t>
      </w:r>
    </w:p>
    <w:p>
      <w:pPr>
        <w:spacing w:after="0" w:line="97" w:lineRule="exact"/>
        <w:rPr>
          <w:sz w:val="20"/>
          <w:szCs w:val="20"/>
          <w:color w:val="auto"/>
        </w:rPr>
      </w:pPr>
    </w:p>
    <w:p>
      <w:pPr>
        <w:ind w:right="80" w:firstLine="433"/>
        <w:spacing w:after="0" w:line="265" w:lineRule="auto"/>
        <w:rPr>
          <w:sz w:val="20"/>
          <w:szCs w:val="20"/>
          <w:color w:val="auto"/>
        </w:rPr>
      </w:pPr>
      <w:r>
        <w:rPr>
          <w:rFonts w:ascii="Times New Roman" w:cs="Times New Roman" w:eastAsia="Times New Roman" w:hAnsi="Times New Roman"/>
          <w:sz w:val="17"/>
          <w:szCs w:val="17"/>
          <w:color w:val="auto"/>
        </w:rPr>
        <w:t>The Company has entered into 169 leases for new stores totaling approximately 1.0 million square feet that have opened or are planned for opening in 2026, and another 56 leases for new stores totaling approximately 1.5 million square feet opening after 2026. In total, through 2028, new store leases are expected to produce total gross revenue of approximately $116 million (at the Company’s pro rata share) in excess of the revenue generated in 2024 from prior uses in those same spaces. This new store leasing pipeline represents a cumulative and incremental estimate and includes open stores, leases signed not yet open, and leases in documentation that will or have commenced from 2024 through 2028. While there may be additional new space openings in 2026, any such leases are not yet executed.</w:t>
      </w:r>
    </w:p>
    <w:p>
      <w:pPr>
        <w:spacing w:after="0" w:line="95"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During the quarter ended March 31, 2026, the Company signed 93 new leases and 176 renewal leases comprising approximately 1.6 million square feet of GLA. The average tenant allowance was $49.65 per square foot.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Outlook</w:t>
      </w:r>
    </w:p>
    <w:p>
      <w:pPr>
        <w:spacing w:after="0" w:line="161" w:lineRule="exact"/>
        <w:rPr>
          <w:sz w:val="20"/>
          <w:szCs w:val="20"/>
          <w:color w:val="auto"/>
        </w:rPr>
      </w:pPr>
    </w:p>
    <w:p>
      <w:pPr>
        <w:ind w:right="280" w:firstLine="433"/>
        <w:spacing w:after="0" w:line="277" w:lineRule="auto"/>
        <w:rPr>
          <w:sz w:val="20"/>
          <w:szCs w:val="20"/>
          <w:color w:val="auto"/>
        </w:rPr>
      </w:pPr>
      <w:r>
        <w:rPr>
          <w:rFonts w:ascii="Times New Roman" w:cs="Times New Roman" w:eastAsia="Times New Roman" w:hAnsi="Times New Roman"/>
          <w:sz w:val="17"/>
          <w:szCs w:val="17"/>
          <w:color w:val="auto"/>
        </w:rPr>
        <w:t>During the second quarter of 2024, the Company unveiled the Path Forward Plan which is a multi-pronged strategy to improve the Company's balance sheet, while also making inward-facing enhancements to both bolster company culture and improve key business processes to gain operating efficiencies. Essential goals of the Path Forward Plan include:</w:t>
      </w:r>
    </w:p>
    <w:p>
      <w:pPr>
        <w:spacing w:after="0" w:line="84" w:lineRule="exact"/>
        <w:rPr>
          <w:sz w:val="20"/>
          <w:szCs w:val="20"/>
          <w:color w:val="auto"/>
        </w:rPr>
      </w:pPr>
    </w:p>
    <w:p>
      <w:pPr>
        <w:ind w:left="1260" w:right="200" w:hanging="626"/>
        <w:spacing w:after="0" w:line="289" w:lineRule="auto"/>
        <w:tabs>
          <w:tab w:leader="none" w:pos="12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Deleverage the capital structure, with a focus on reducing the Company's Net Debt to Adjusted EBITDA leverage ratio over the next two to three years;</w:t>
      </w:r>
    </w:p>
    <w:p>
      <w:pPr>
        <w:spacing w:after="0" w:line="1"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 in and fortify the Company's key assets in the portfolio;</w:t>
      </w:r>
    </w:p>
    <w:p>
      <w:pPr>
        <w:spacing w:after="0" w:line="66"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Proactively consolidate selected joint venture assets over time that are core to the Company's overall strategy;</w:t>
      </w:r>
    </w:p>
    <w:p>
      <w:pPr>
        <w:spacing w:after="0" w:line="66"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a post-deleveraging Funds From Operations ("FFO") launch point goal over the next two to three years;</w:t>
      </w:r>
    </w:p>
    <w:p>
      <w:pPr>
        <w:spacing w:after="0" w:line="66"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outstanding operational results through rigorous internal process improvements; and</w:t>
      </w:r>
    </w:p>
    <w:p>
      <w:pPr>
        <w:spacing w:after="0" w:line="66"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Position the Company to take an offensive stance on strategic acquisitions, reinvestment and targeted development.</w:t>
      </w:r>
    </w:p>
    <w:p>
      <w:pPr>
        <w:spacing w:after="0" w:line="159" w:lineRule="exact"/>
        <w:rPr>
          <w:sz w:val="20"/>
          <w:szCs w:val="20"/>
          <w:color w:val="auto"/>
        </w:rPr>
      </w:pPr>
    </w:p>
    <w:p>
      <w:pPr>
        <w:ind w:firstLine="433"/>
        <w:spacing w:after="0" w:line="263" w:lineRule="auto"/>
        <w:rPr>
          <w:sz w:val="20"/>
          <w:szCs w:val="20"/>
          <w:color w:val="auto"/>
        </w:rPr>
      </w:pPr>
      <w:r>
        <w:rPr>
          <w:rFonts w:ascii="Times New Roman" w:cs="Times New Roman" w:eastAsia="Times New Roman" w:hAnsi="Times New Roman"/>
          <w:sz w:val="17"/>
          <w:szCs w:val="17"/>
          <w:color w:val="auto"/>
        </w:rPr>
        <w:t>The Company may achieve these goals through a variety of methods and the timing, extent and impact of any transactions that the Company has or will undertake while implementing the Path Forward Plan may vary and evolve. In order to deleverage its capital structure, the Company may pursue asset dispositions and acquisitions, experience organic growth in 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 Additionally, as part of the Path Forward Plan, the Company is targeting for disposition certain outparcels, freestanding retail assets, non-enclosed mall assets and vacant land. The Company also began acquiring properties in June 2025 with the acquisition of Crabtree Mall and the recent acquisition of Annapolis Mall, and will continue to look for other strategic acquisition opportunities that would complement the Company's portfolio.</w:t>
      </w:r>
    </w:p>
    <w:p>
      <w:pPr>
        <w:spacing w:after="0" w:line="109" w:lineRule="exact"/>
        <w:rPr>
          <w:sz w:val="20"/>
          <w:szCs w:val="20"/>
          <w:color w:val="auto"/>
        </w:rPr>
      </w:pPr>
    </w:p>
    <w:p>
      <w:pPr>
        <w:ind w:right="200" w:firstLine="433"/>
        <w:spacing w:after="0" w:line="277" w:lineRule="auto"/>
        <w:rPr>
          <w:sz w:val="20"/>
          <w:szCs w:val="20"/>
          <w:color w:val="auto"/>
        </w:rPr>
      </w:pPr>
      <w:r>
        <w:rPr>
          <w:rFonts w:ascii="Times New Roman" w:cs="Times New Roman" w:eastAsia="Times New Roman" w:hAnsi="Times New Roman"/>
          <w:sz w:val="17"/>
          <w:szCs w:val="17"/>
          <w:color w:val="auto"/>
        </w:rPr>
        <w:t>As a further update to the Company’s Path Forward Plan and to provide a strategic disposition plan that refines the portfolio and creates a more focused platform for growth, the Company identified the following Centers as the go-forward portfolio Centers as of March 31, 2026 (the “Go-Forward Portfolio Centers”). The Go-Forward Portfolio Centers are subject to change.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Arrowhead Towne Center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Kierland Commons (b)</w:t>
            </w:r>
          </w:p>
        </w:tc>
      </w:tr>
      <w:tr>
        <w:trPr>
          <w:trHeight w:val="223"/>
        </w:trPr>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Broadway Plaza (b)</w:t>
            </w:r>
          </w:p>
        </w:tc>
        <w:tc>
          <w:tcPr>
            <w:tcW w:w="66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Kings Plaza Shopping Center (a)</w:t>
            </w:r>
          </w:p>
        </w:tc>
      </w:tr>
      <w:tr>
        <w:trPr>
          <w:trHeight w:val="223"/>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Chandler Fashion Center (b)</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Los Cerritos Center (a)</w:t>
            </w:r>
          </w:p>
        </w:tc>
      </w:tr>
      <w:tr>
        <w:trPr>
          <w:trHeight w:val="223"/>
        </w:trPr>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Corte Madera, The Village at (b)</w:t>
            </w:r>
          </w:p>
        </w:tc>
        <w:tc>
          <w:tcPr>
            <w:tcW w:w="66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NorthPark Mall (a)</w:t>
            </w:r>
          </w:p>
        </w:tc>
      </w:tr>
      <w:tr>
        <w:trPr>
          <w:trHeight w:val="223"/>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Crabtree Mall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Pacific View (a)</w:t>
            </w:r>
          </w:p>
        </w:tc>
      </w:tr>
      <w:tr>
        <w:trPr>
          <w:trHeight w:val="223"/>
        </w:trPr>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Danbury Fair Mall (a)</w:t>
            </w:r>
          </w:p>
        </w:tc>
        <w:tc>
          <w:tcPr>
            <w:tcW w:w="66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Queens Center (a)</w:t>
            </w:r>
          </w:p>
        </w:tc>
      </w:tr>
      <w:tr>
        <w:trPr>
          <w:trHeight w:val="223"/>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Deptford Mall (b)</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SanTan Village Regional Center (a)</w:t>
            </w:r>
          </w:p>
        </w:tc>
      </w:tr>
      <w:tr>
        <w:trPr>
          <w:trHeight w:val="223"/>
        </w:trPr>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Desert Sky Mall (a)</w:t>
            </w:r>
          </w:p>
        </w:tc>
        <w:tc>
          <w:tcPr>
            <w:tcW w:w="66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Scottsdale Fashion Square (b)</w:t>
            </w:r>
          </w:p>
        </w:tc>
      </w:tr>
      <w:tr>
        <w:trPr>
          <w:trHeight w:val="223"/>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Eastland Mall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South Plains Mall (a)</w:t>
            </w:r>
          </w:p>
        </w:tc>
      </w:tr>
      <w:tr>
        <w:trPr>
          <w:trHeight w:val="223"/>
        </w:trPr>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Fashion District Philadelphia (a)</w:t>
            </w:r>
          </w:p>
        </w:tc>
        <w:tc>
          <w:tcPr>
            <w:tcW w:w="66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Stonewood Center (a)</w:t>
            </w:r>
          </w:p>
        </w:tc>
      </w:tr>
      <w:tr>
        <w:trPr>
          <w:trHeight w:val="223"/>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Fashion Outlets of Chicago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Superstition Springs Center (a)</w:t>
            </w:r>
          </w:p>
        </w:tc>
      </w:tr>
      <w:tr>
        <w:trPr>
          <w:trHeight w:val="223"/>
        </w:trPr>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Flatiron Crossing (b)</w:t>
            </w:r>
          </w:p>
        </w:tc>
        <w:tc>
          <w:tcPr>
            <w:tcW w:w="66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Tysons Corner Center (b)</w:t>
            </w:r>
          </w:p>
        </w:tc>
      </w:tr>
      <w:tr>
        <w:trPr>
          <w:trHeight w:val="223"/>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Freehold Raceway Mall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Valley River Center (a)</w:t>
            </w:r>
          </w:p>
        </w:tc>
      </w:tr>
      <w:tr>
        <w:trPr>
          <w:trHeight w:val="223"/>
        </w:trPr>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Fresno Fashion Fair (a)</w:t>
            </w:r>
          </w:p>
        </w:tc>
        <w:tc>
          <w:tcPr>
            <w:tcW w:w="66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Victor Valley, Mall of (a)</w:t>
            </w:r>
          </w:p>
        </w:tc>
      </w:tr>
      <w:tr>
        <w:trPr>
          <w:trHeight w:val="223"/>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Green Acres Mall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Vintage Faire Mall (a)</w:t>
            </w:r>
          </w:p>
        </w:tc>
      </w:tr>
      <w:tr>
        <w:trPr>
          <w:trHeight w:val="228"/>
        </w:trPr>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Inland Center (a)</w:t>
            </w:r>
          </w:p>
        </w:tc>
        <w:tc>
          <w:tcPr>
            <w:tcW w:w="66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Washington Square (a)</w:t>
            </w:r>
          </w:p>
        </w:tc>
      </w:tr>
    </w:tbl>
    <w:p>
      <w:pPr>
        <w:spacing w:after="0" w:line="257" w:lineRule="exact"/>
        <w:rPr>
          <w:sz w:val="20"/>
          <w:szCs w:val="20"/>
          <w:color w:val="auto"/>
        </w:rPr>
      </w:pPr>
    </w:p>
    <w:p>
      <w:pPr>
        <w:ind w:left="700" w:hanging="206"/>
        <w:spacing w:after="0"/>
        <w:tabs>
          <w:tab w:leader="none" w:pos="7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Consolidated Centers</w:t>
      </w:r>
    </w:p>
    <w:p>
      <w:pPr>
        <w:spacing w:after="0" w:line="25" w:lineRule="exact"/>
        <w:rPr>
          <w:rFonts w:ascii="Times New Roman" w:cs="Times New Roman" w:eastAsia="Times New Roman" w:hAnsi="Times New Roman"/>
          <w:sz w:val="16"/>
          <w:szCs w:val="16"/>
          <w:color w:val="auto"/>
        </w:rPr>
      </w:pPr>
    </w:p>
    <w:p>
      <w:pPr>
        <w:ind w:left="720" w:hanging="226"/>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Unconsolidated Joint Venture Centers</w:t>
      </w:r>
    </w:p>
    <w:p>
      <w:pPr>
        <w:spacing w:after="0" w:line="231" w:lineRule="exact"/>
        <w:rPr>
          <w:sz w:val="20"/>
          <w:szCs w:val="20"/>
          <w:color w:val="auto"/>
        </w:rPr>
      </w:pPr>
    </w:p>
    <w:p>
      <w:pPr>
        <w:ind w:right="100" w:firstLine="433"/>
        <w:spacing w:after="0" w:line="267" w:lineRule="auto"/>
        <w:rPr>
          <w:sz w:val="20"/>
          <w:szCs w:val="20"/>
          <w:color w:val="auto"/>
        </w:rPr>
      </w:pPr>
      <w:r>
        <w:rPr>
          <w:rFonts w:ascii="Times New Roman" w:cs="Times New Roman" w:eastAsia="Times New Roman" w:hAnsi="Times New Roman"/>
          <w:sz w:val="17"/>
          <w:szCs w:val="17"/>
          <w:color w:val="auto"/>
        </w:rPr>
        <w:t>Further, the Company has a long-term four-pronged business strategy that focuses on the acquisition, leasing and management, redevelopment and development of regional retail centers. Although some of the key performance indicators at the Centers continued to improve during 2025 and the first quarter of 2026, operating results in 2026 have been and are expected to continue to be negatively impacted by certain external factors, including sustained inflation, tariffs and elevated interest rates, as well as the impact from the bankruptcies of Express, Forever 21 and Claire's, and resulting store closures, and any future tenant bankruptcies.</w:t>
      </w:r>
    </w:p>
    <w:p>
      <w:pPr>
        <w:spacing w:after="0" w:line="106" w:lineRule="exact"/>
        <w:rPr>
          <w:sz w:val="20"/>
          <w:szCs w:val="20"/>
          <w:color w:val="auto"/>
        </w:rPr>
      </w:pPr>
    </w:p>
    <w:p>
      <w:pPr>
        <w:jc w:val="both"/>
        <w:ind w:right="140" w:firstLine="433"/>
        <w:spacing w:after="0" w:line="270" w:lineRule="auto"/>
        <w:rPr>
          <w:sz w:val="20"/>
          <w:szCs w:val="20"/>
          <w:color w:val="auto"/>
        </w:rPr>
      </w:pPr>
      <w:r>
        <w:rPr>
          <w:rFonts w:ascii="Times New Roman" w:cs="Times New Roman" w:eastAsia="Times New Roman" w:hAnsi="Times New Roman"/>
          <w:sz w:val="17"/>
          <w:szCs w:val="17"/>
          <w:color w:val="auto"/>
        </w:rPr>
        <w:t>Traffic levels at the Company’s Centers for the first quarter of 2026 increased by 0.5% from 2025 levels for the same time period. Portfolio tenant sales per square foot from spaces less than 10,000 square feet for the trailing twelve months ended March 31, 2026 were $899 compared to $881 for the year ended December 31, 2025. Comparable tenant sales from spaces less than 10,000 square feet across the portfolio for the quarter ended March 31, 2026 increased by 3.8% compared to the same period in 2025.</w:t>
      </w:r>
    </w:p>
    <w:p>
      <w:pPr>
        <w:spacing w:after="0" w:line="104" w:lineRule="exact"/>
        <w:rPr>
          <w:sz w:val="20"/>
          <w:szCs w:val="20"/>
          <w:color w:val="auto"/>
        </w:rPr>
      </w:pPr>
    </w:p>
    <w:p>
      <w:pPr>
        <w:ind w:right="60" w:firstLine="433"/>
        <w:spacing w:after="0" w:line="277" w:lineRule="auto"/>
        <w:rPr>
          <w:sz w:val="20"/>
          <w:szCs w:val="20"/>
          <w:color w:val="auto"/>
        </w:rPr>
      </w:pPr>
      <w:r>
        <w:rPr>
          <w:rFonts w:ascii="Times New Roman" w:cs="Times New Roman" w:eastAsia="Times New Roman" w:hAnsi="Times New Roman"/>
          <w:sz w:val="17"/>
          <w:szCs w:val="17"/>
          <w:color w:val="auto"/>
        </w:rPr>
        <w:t>During the first quarter of 2026, the Company signed 269 leases for approximately 1.61 million square feet, compared to 295 leases and 1.57 million square feet leased during the first quarter of 2025, representing a 2.5% increase in the amount of square footage leased on a comparable center basis, excluding a 900,000 square foot multi-location anchor renewal package executed in the prior-year period.</w:t>
      </w:r>
    </w:p>
    <w:p>
      <w:pPr>
        <w:spacing w:after="0" w:line="84"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The Company believes that diversity of use within its tenant base has been, and will continue to be, a prominent internal growth catalyst at its Centers going forward, as new uses enhance the productivity and diversity of the tenant mix and have the potential to significantly increase customer traffic at the applicable Centers. During the quarter ended March 31, 2026, the Company signed leases for new stores with new-to-Macerich portfolio uses for 80,000 square feet, with another 359,000 square feet of such new-to-Macerich portfolio leases currently in negotiation as of the date of this Quarterly Report on Form 10-Q.</w:t>
      </w:r>
    </w:p>
    <w:p>
      <w:pPr>
        <w:spacing w:after="0" w:line="104" w:lineRule="exact"/>
        <w:rPr>
          <w:sz w:val="20"/>
          <w:szCs w:val="20"/>
          <w:color w:val="auto"/>
        </w:rPr>
      </w:pPr>
    </w:p>
    <w:p>
      <w:pPr>
        <w:ind w:right="160" w:firstLine="433"/>
        <w:spacing w:after="0" w:line="297" w:lineRule="auto"/>
        <w:rPr>
          <w:sz w:val="20"/>
          <w:szCs w:val="20"/>
          <w:color w:val="auto"/>
        </w:rPr>
      </w:pPr>
      <w:r>
        <w:rPr>
          <w:rFonts w:ascii="Times New Roman" w:cs="Times New Roman" w:eastAsia="Times New Roman" w:hAnsi="Times New Roman"/>
          <w:sz w:val="17"/>
          <w:szCs w:val="17"/>
          <w:color w:val="auto"/>
        </w:rPr>
        <w:t>As of March 31, 2026, the leased occupancy rate was 93.4%, a 0.8% increase compared to the leased occupancy rate at March 31, 2025 of 92.6% and a 0.6% sequential decrease compared to the 94.0% occupancy rate at December 31, 2025.</w:t>
      </w:r>
    </w:p>
    <w:p>
      <w:pPr>
        <w:spacing w:after="0" w:line="80" w:lineRule="exact"/>
        <w:rPr>
          <w:sz w:val="20"/>
          <w:szCs w:val="20"/>
          <w:color w:val="auto"/>
        </w:rPr>
      </w:pPr>
    </w:p>
    <w:p>
      <w:pPr>
        <w:ind w:right="160" w:firstLine="433"/>
        <w:spacing w:after="0" w:line="297" w:lineRule="auto"/>
        <w:rPr>
          <w:sz w:val="20"/>
          <w:szCs w:val="20"/>
          <w:color w:val="auto"/>
        </w:rPr>
      </w:pPr>
      <w:r>
        <w:rPr>
          <w:rFonts w:ascii="Times New Roman" w:cs="Times New Roman" w:eastAsia="Times New Roman" w:hAnsi="Times New Roman"/>
          <w:sz w:val="17"/>
          <w:szCs w:val="17"/>
          <w:color w:val="auto"/>
        </w:rPr>
        <w:t>Many of the Company’s leases contain co-tenancy clauses. Certain Anchor or small tenant closures have become vacant, and co-tenancy clauses within certain leases may be triggered as a result. The Company does not anticipate that the negative impact of such clauses on lease revenue will be significant.</w:t>
      </w:r>
    </w:p>
    <w:p>
      <w:pPr>
        <w:spacing w:after="0" w:line="67" w:lineRule="exact"/>
        <w:rPr>
          <w:sz w:val="20"/>
          <w:szCs w:val="20"/>
          <w:color w:val="auto"/>
        </w:rPr>
      </w:pPr>
    </w:p>
    <w:p>
      <w:pPr>
        <w:ind w:right="160" w:firstLine="433"/>
        <w:spacing w:after="0" w:line="267" w:lineRule="auto"/>
        <w:rPr>
          <w:sz w:val="20"/>
          <w:szCs w:val="20"/>
          <w:color w:val="auto"/>
        </w:rPr>
      </w:pPr>
      <w:r>
        <w:rPr>
          <w:rFonts w:ascii="Times New Roman" w:cs="Times New Roman" w:eastAsia="Times New Roman" w:hAnsi="Times New Roman"/>
          <w:sz w:val="17"/>
          <w:szCs w:val="17"/>
          <w:color w:val="auto"/>
        </w:rPr>
        <w:t>The pace of bankruptcy filings involving the Company’s tenants has remained steady in recent years but is substantially lower than 2021 levels. For the year ended December 31, 2025, there were eight bankruptcy filings involving the Company’s tenants, including the bankruptcies of Forever 21 and Claire's, totaling 67 leases and representing approximately 873,000 square feet of leased space and approximately $12.9 million of annual leasing revenue at the Company’s share. Year-to-date 2026, there were four bankruptcy filings involving the Company’s tenants, including Saks Global LLC, totaling 14 leases and representing approximately 182,000 square feet of leased space and approximately $3.1 million of annual leasing revenue at the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Company’s share. Based on current information and market data, the Company expects that the pace of bankruptcy filings in 2026 will be lower than the average bankruptcy rate over the last decade but the Company will continue to monitor the impact of tariffs and other economic conditions on the Company's tenants.</w:t>
      </w:r>
    </w:p>
    <w:p>
      <w:pPr>
        <w:spacing w:after="0" w:line="290" w:lineRule="exact"/>
        <w:rPr>
          <w:sz w:val="20"/>
          <w:szCs w:val="20"/>
          <w:color w:val="auto"/>
        </w:rPr>
      </w:pPr>
    </w:p>
    <w:p>
      <w:pPr>
        <w:ind w:firstLine="433"/>
        <w:spacing w:after="0" w:line="274" w:lineRule="auto"/>
        <w:rPr>
          <w:sz w:val="20"/>
          <w:szCs w:val="20"/>
          <w:color w:val="auto"/>
        </w:rPr>
      </w:pPr>
      <w:r>
        <w:rPr>
          <w:rFonts w:ascii="Times New Roman" w:cs="Times New Roman" w:eastAsia="Times New Roman" w:hAnsi="Times New Roman"/>
          <w:sz w:val="17"/>
          <w:szCs w:val="17"/>
          <w:color w:val="auto"/>
        </w:rPr>
        <w:t>During 2026, the Company expects to generate positive cash flow after recurring operating capital expenditures, leasing capital expenditures and payment of dividends. This assumption does not include any potential capital generated from dispositions, refinancings or issuances of common stock. To the extent available, any excess cash flow may be used to fund the Company’s development and redevelopment pipeline, acquisitions and/or de-lever the Company’s balance sheet.</w:t>
      </w:r>
    </w:p>
    <w:p>
      <w:pPr>
        <w:spacing w:after="0" w:line="314" w:lineRule="exact"/>
        <w:rPr>
          <w:sz w:val="20"/>
          <w:szCs w:val="20"/>
          <w:color w:val="auto"/>
        </w:rPr>
      </w:pPr>
    </w:p>
    <w:p>
      <w:pPr>
        <w:ind w:right="120" w:firstLine="433"/>
        <w:spacing w:after="0" w:line="270" w:lineRule="auto"/>
        <w:rPr>
          <w:sz w:val="20"/>
          <w:szCs w:val="20"/>
          <w:color w:val="auto"/>
        </w:rPr>
      </w:pPr>
      <w:r>
        <w:rPr>
          <w:rFonts w:ascii="Times New Roman" w:cs="Times New Roman" w:eastAsia="Times New Roman" w:hAnsi="Times New Roman"/>
          <w:sz w:val="17"/>
          <w:szCs w:val="17"/>
          <w:color w:val="auto"/>
        </w:rPr>
        <w:t>The Company continues to actively address its near-term, non-recourse loan maturities, with five completed transactions from the beginning of 2025 through the date of this Quarterly Report on Form 10-Q, totaling approximately $954.7 million, or approximately $829.5 million at the Company’s pro rata share. For additional information on the Company’s financing transactions in the year ended 2025 through the date of this Quarterly Report on Form 10-Q, see “Financing Activities” in Management’s Overview and Summary.</w:t>
      </w:r>
    </w:p>
    <w:p>
      <w:pPr>
        <w:spacing w:after="0" w:line="104" w:lineRule="exact"/>
        <w:rPr>
          <w:sz w:val="20"/>
          <w:szCs w:val="20"/>
          <w:color w:val="auto"/>
        </w:rPr>
      </w:pPr>
    </w:p>
    <w:p>
      <w:pPr>
        <w:ind w:right="60" w:firstLine="433"/>
        <w:spacing w:after="0" w:line="297" w:lineRule="auto"/>
        <w:rPr>
          <w:sz w:val="20"/>
          <w:szCs w:val="20"/>
          <w:color w:val="auto"/>
        </w:rPr>
      </w:pPr>
      <w:r>
        <w:rPr>
          <w:rFonts w:ascii="Times New Roman" w:cs="Times New Roman" w:eastAsia="Times New Roman" w:hAnsi="Times New Roman"/>
          <w:sz w:val="17"/>
          <w:szCs w:val="17"/>
          <w:color w:val="auto"/>
        </w:rPr>
        <w:t>On April 9, 2024, the Company defaulted on the $300.0 million non-recourse loan on Santa Monica Place and during the first quarter of 2025, completed the transition of the property to a receiver. The Company is still the owner of record of the property.</w:t>
      </w:r>
    </w:p>
    <w:p>
      <w:pPr>
        <w:spacing w:after="0" w:line="67" w:lineRule="exact"/>
        <w:rPr>
          <w:sz w:val="20"/>
          <w:szCs w:val="20"/>
          <w:color w:val="auto"/>
        </w:rPr>
      </w:pPr>
    </w:p>
    <w:p>
      <w:pPr>
        <w:ind w:right="40" w:firstLine="433"/>
        <w:spacing w:after="0" w:line="264" w:lineRule="auto"/>
        <w:rPr>
          <w:sz w:val="20"/>
          <w:szCs w:val="20"/>
          <w:color w:val="auto"/>
        </w:rPr>
      </w:pPr>
      <w:r>
        <w:rPr>
          <w:rFonts w:ascii="Times New Roman" w:cs="Times New Roman" w:eastAsia="Times New Roman" w:hAnsi="Times New Roman"/>
          <w:sz w:val="17"/>
          <w:szCs w:val="17"/>
          <w:color w:val="auto"/>
        </w:rPr>
        <w:t>Interest rates have increased, and may continue to increase, the cost of the Company’s borrowings due to its outstanding floating-rate debt and have led, and may continue to lead, to higher interest rates on new fixed-rate debt. While interest rates have begun to decrease, they remain elevated and the Company expects to incur increased interest expense from the refinancing or extension of loans that may currently carry below-market interest rates. In certain cases, the Company has limited, and may continue to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Three Months Ended March 31, 2026 and 2025</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147" w:lineRule="exact"/>
        <w:rPr>
          <w:sz w:val="20"/>
          <w:szCs w:val="20"/>
          <w:color w:val="auto"/>
        </w:rPr>
      </w:pPr>
    </w:p>
    <w:p>
      <w:pPr>
        <w:ind w:right="60" w:firstLine="433"/>
        <w:spacing w:after="0" w:line="264" w:lineRule="auto"/>
        <w:rPr>
          <w:sz w:val="20"/>
          <w:szCs w:val="20"/>
          <w:color w:val="auto"/>
        </w:rPr>
      </w:pPr>
      <w:r>
        <w:rPr>
          <w:rFonts w:ascii="Times New Roman" w:cs="Times New Roman" w:eastAsia="Times New Roman" w:hAnsi="Times New Roman"/>
          <w:sz w:val="17"/>
          <w:szCs w:val="17"/>
          <w:color w:val="auto"/>
        </w:rPr>
        <w:t>Leasing revenue decreased by $9.7 million, or 4.1%, from 2025 to 2026. The decrease in leasing revenue is attributed to decreases of $16.4 million from the Disposition Properties, $2.3 million from the Same Centers and $2.2 million from Santa Monica Place offset in part by $11.2 million from the Acquisition Property. Leasing revenue includes the amortization of above and below-market leases, the amortization of straight-line rents, lease termination income, percentage rent and the recovery of bad debts. The amortization of above and below-market leases increased from $1.0 million in 2025 to $1.4 million in 2026. Straight-line rents increased from $(0.3) million in 2025 to $1.3 million in 2026. Lease termination income decreased from $4.9 million in 2025 to $0.1 million in 2026. Percentage rent increased from $4.3 million in 2025 to $5.9 million in 2026. Provisions for bad debts decreased from $1.6 million in 2025 to $1.2 million in 2026.</w:t>
      </w:r>
    </w:p>
    <w:p>
      <w:pPr>
        <w:spacing w:after="0" w:line="3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Management Companies' revenue increased 33.0% from $4.9 million in 2025 to $6.5 million in 2026 primarily due to an increase in development fees.</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Shopping Center and Operating Expenses:</w:t>
      </w:r>
    </w:p>
    <w:p>
      <w:pPr>
        <w:spacing w:after="0" w:line="147" w:lineRule="exact"/>
        <w:rPr>
          <w:sz w:val="20"/>
          <w:szCs w:val="20"/>
          <w:color w:val="auto"/>
        </w:rPr>
      </w:pPr>
    </w:p>
    <w:p>
      <w:pPr>
        <w:ind w:right="120" w:firstLine="433"/>
        <w:spacing w:after="0" w:line="277" w:lineRule="auto"/>
        <w:rPr>
          <w:sz w:val="20"/>
          <w:szCs w:val="20"/>
          <w:color w:val="auto"/>
        </w:rPr>
      </w:pPr>
      <w:r>
        <w:rPr>
          <w:rFonts w:ascii="Times New Roman" w:cs="Times New Roman" w:eastAsia="Times New Roman" w:hAnsi="Times New Roman"/>
          <w:sz w:val="17"/>
          <w:szCs w:val="17"/>
          <w:color w:val="auto"/>
        </w:rPr>
        <w:t>Shopping center and operating expenses decreased $1.9 million, or 2.2%, from 2025 to 2026. The decrease in shopping center and operating expenses is attributed to a decrease of $6.3 million from the Disposition Properties offset in part by increases of $3.0 million from the Acquisition Property, $1.0 million from Santa Monica Place and $0.4 million from the Same Centers.</w:t>
      </w:r>
    </w:p>
    <w:p>
      <w:pPr>
        <w:spacing w:after="0" w:line="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Leasing Expenses:</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Leasing expenses increased from $11.2 million in 2025 to $13.8 million in 2026 due primarily to an increase in compensation expense.</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Management Companies' Operating Expenses:</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Management Companies' operating expenses increased $1.6 million from 2025 to 2026 due primarily to an increase in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147" w:lineRule="exact"/>
        <w:rPr>
          <w:sz w:val="20"/>
          <w:szCs w:val="20"/>
          <w:color w:val="auto"/>
        </w:rPr>
      </w:pPr>
    </w:p>
    <w:p>
      <w:pPr>
        <w:ind w:right="80" w:firstLine="433"/>
        <w:spacing w:after="0" w:line="277" w:lineRule="auto"/>
        <w:rPr>
          <w:sz w:val="20"/>
          <w:szCs w:val="20"/>
          <w:color w:val="auto"/>
        </w:rPr>
      </w:pPr>
      <w:r>
        <w:rPr>
          <w:rFonts w:ascii="Times New Roman" w:cs="Times New Roman" w:eastAsia="Times New Roman" w:hAnsi="Times New Roman"/>
          <w:sz w:val="17"/>
          <w:szCs w:val="17"/>
          <w:color w:val="auto"/>
        </w:rPr>
        <w:t>Depreciation and amortization decreased $9.5 million from 2025 to 2026. The decrease in depreciation and amortization is attributed to decreases of $8.3 million from the Same Centers, $6.8 million from the Disposition Properties and $0.7 million from Santa Monica Place offset in part by an increase of $6.3 million from the Acquisition Property.</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161"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Interest expense decreased $1.6 million from 2025 to 2026. The decrease in interest expense is attributed to decreases of $6.1 million from the Disposition Properties, $1.4 million from lower outstanding balances on the Company's revolving credit facility and $0.2 million from Santa Monica Place offset in part by increases of $3.5 million from the Same Centers and $2.6 million from the Acquisition Property.</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Equity in Loss of Unconsolidated Joint Ventures:</w:t>
      </w:r>
    </w:p>
    <w:p>
      <w:pPr>
        <w:spacing w:after="0" w:line="161" w:lineRule="exact"/>
        <w:rPr>
          <w:sz w:val="20"/>
          <w:szCs w:val="20"/>
          <w:color w:val="auto"/>
        </w:rPr>
      </w:pPr>
    </w:p>
    <w:p>
      <w:pPr>
        <w:ind w:right="20" w:firstLine="433"/>
        <w:spacing w:after="0" w:line="297" w:lineRule="auto"/>
        <w:rPr>
          <w:sz w:val="20"/>
          <w:szCs w:val="20"/>
          <w:color w:val="auto"/>
        </w:rPr>
      </w:pPr>
      <w:r>
        <w:rPr>
          <w:rFonts w:ascii="Times New Roman" w:cs="Times New Roman" w:eastAsia="Times New Roman" w:hAnsi="Times New Roman"/>
          <w:sz w:val="17"/>
          <w:szCs w:val="17"/>
          <w:color w:val="auto"/>
        </w:rPr>
        <w:t>Equity in loss of unconsolidated joint ventures increased $9.1 million from 2025 to 2026. The increase in equity in loss of unconsolidated joint ventures is primarily due to income received from legal claims settlements in 2025 that did not recur in 2026.</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Gain (Loss) on Sale or Write Down of Assets, net:</w:t>
      </w:r>
    </w:p>
    <w:p>
      <w:pPr>
        <w:spacing w:after="0" w:line="147"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Gain (loss) on sale or write down of assets, net increased $20.8 million from 2025 to 2026. The increase is primarily due to the gains recognized in 2026 of $10.1 million relating to the sale of an outparcel at Washington Square offset in part by $3.1 million relating to the write off of development costs in 2026 and impairment losses in 2025 of $13.3 million recognized as a result of the reduction in the estimated holding period of certain properties.</w:t>
      </w:r>
    </w:p>
    <w:p>
      <w:pPr>
        <w:spacing w:after="0" w:line="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Net Loss:</w:t>
      </w:r>
    </w:p>
    <w:p>
      <w:pPr>
        <w:spacing w:after="0" w:line="161" w:lineRule="exact"/>
        <w:rPr>
          <w:sz w:val="20"/>
          <w:szCs w:val="20"/>
          <w:color w:val="auto"/>
        </w:rPr>
      </w:pPr>
    </w:p>
    <w:p>
      <w:pPr>
        <w:ind w:right="100" w:firstLine="433"/>
        <w:spacing w:after="0" w:line="297" w:lineRule="auto"/>
        <w:rPr>
          <w:sz w:val="20"/>
          <w:szCs w:val="20"/>
          <w:color w:val="auto"/>
        </w:rPr>
      </w:pPr>
      <w:r>
        <w:rPr>
          <w:rFonts w:ascii="Times New Roman" w:cs="Times New Roman" w:eastAsia="Times New Roman" w:hAnsi="Times New Roman"/>
          <w:sz w:val="17"/>
          <w:szCs w:val="17"/>
          <w:color w:val="auto"/>
        </w:rPr>
        <w:t>Net loss decreased $14.3 million from 2025 to 2026. The decrease in net loss is primarily due to the gains recognized in 2026 of $10.1 million relating to the sale of an outparcel at Washington Square along with the other variances noted above.</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Funds From Operations ("FFO"):</w:t>
      </w:r>
    </w:p>
    <w:p>
      <w:pPr>
        <w:spacing w:after="0" w:line="161" w:lineRule="exact"/>
        <w:rPr>
          <w:sz w:val="20"/>
          <w:szCs w:val="20"/>
          <w:color w:val="auto"/>
        </w:rPr>
      </w:pPr>
    </w:p>
    <w:p>
      <w:pPr>
        <w:ind w:right="100" w:firstLine="433"/>
        <w:spacing w:after="0" w:line="270" w:lineRule="auto"/>
        <w:rPr>
          <w:sz w:val="20"/>
          <w:szCs w:val="20"/>
          <w:color w:val="auto"/>
        </w:rPr>
      </w:pPr>
      <w:r>
        <w:rPr>
          <w:rFonts w:ascii="Times New Roman" w:cs="Times New Roman" w:eastAsia="Times New Roman" w:hAnsi="Times New Roman"/>
          <w:sz w:val="17"/>
          <w:szCs w:val="17"/>
          <w:color w:val="auto"/>
        </w:rPr>
        <w:t>Primarily as a result of the factors mentioned above, FFO attributable to common stockholders and unit holders, as adjusted,—diluted, increased 2.9% from $89.8 million in 2025 to $92.4 million in 2026. For a reconciliation of net loss attributable to the Company, the most directly comparable GAAP financial measure, to FFO attributable to common stockholders and unit holders—diluted, and FFO attributable to common stockholders and unit holders, as adjusted,diluted, see "Funds From Operations ("FFO")" below.</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47" w:lineRule="exact"/>
        <w:rPr>
          <w:sz w:val="20"/>
          <w:szCs w:val="20"/>
          <w:color w:val="auto"/>
        </w:rPr>
      </w:pPr>
    </w:p>
    <w:p>
      <w:pPr>
        <w:ind w:right="20" w:firstLine="433"/>
        <w:spacing w:after="0" w:line="297" w:lineRule="auto"/>
        <w:rPr>
          <w:sz w:val="20"/>
          <w:szCs w:val="20"/>
          <w:color w:val="auto"/>
        </w:rPr>
      </w:pPr>
      <w:r>
        <w:rPr>
          <w:rFonts w:ascii="Times New Roman" w:cs="Times New Roman" w:eastAsia="Times New Roman" w:hAnsi="Times New Roman"/>
          <w:sz w:val="17"/>
          <w:szCs w:val="17"/>
          <w:color w:val="auto"/>
        </w:rPr>
        <w:t>Cash provided by operating activities decreased $11.1 million from 2025 to 2026. The decrease is primarily due to the changes in assets and liabilities and the results, as discussed above.</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61" w:lineRule="exact"/>
        <w:rPr>
          <w:sz w:val="20"/>
          <w:szCs w:val="20"/>
          <w:color w:val="auto"/>
        </w:rPr>
      </w:pPr>
    </w:p>
    <w:p>
      <w:pPr>
        <w:ind w:right="80" w:firstLine="433"/>
        <w:spacing w:after="0" w:line="265" w:lineRule="auto"/>
        <w:rPr>
          <w:sz w:val="20"/>
          <w:szCs w:val="20"/>
          <w:color w:val="auto"/>
        </w:rPr>
      </w:pPr>
      <w:r>
        <w:rPr>
          <w:rFonts w:ascii="Times New Roman" w:cs="Times New Roman" w:eastAsia="Times New Roman" w:hAnsi="Times New Roman"/>
          <w:sz w:val="17"/>
          <w:szCs w:val="17"/>
          <w:color w:val="auto"/>
        </w:rPr>
        <w:t>Cash used in investing activities decreased $28.3 million from 2025 to 2026. The decrease in cash used in investing activities is primarily attributed to decreases in contributions to unconsolidated joint ventures of $82.7 million and development, redevelopment and renovation of $4.1 million offset in part by decreases of $13.6 million from distribution from unconsolidated joint ventures and $11.8 million from proceeds from sale of assets and increases of $21.8 million in property improvements and $10 million related to a deposit on acquisition of property. The decrease in contributions to unconsolidated joint ventures is primarily due to contributions to Flatiron Crossing in 2025 to payoff the remaining loan balance (See “Financing Activities” in Management’s Overview and Summary).</w:t>
      </w:r>
    </w:p>
    <w:p>
      <w:pPr>
        <w:spacing w:after="0" w:line="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61" w:lineRule="exact"/>
        <w:rPr>
          <w:sz w:val="20"/>
          <w:szCs w:val="20"/>
          <w:color w:val="auto"/>
        </w:rPr>
      </w:pPr>
    </w:p>
    <w:p>
      <w:pPr>
        <w:ind w:right="220" w:firstLine="433"/>
        <w:spacing w:after="0" w:line="270" w:lineRule="auto"/>
        <w:rPr>
          <w:sz w:val="20"/>
          <w:szCs w:val="20"/>
          <w:color w:val="auto"/>
        </w:rPr>
      </w:pPr>
      <w:r>
        <w:rPr>
          <w:rFonts w:ascii="Times New Roman" w:cs="Times New Roman" w:eastAsia="Times New Roman" w:hAnsi="Times New Roman"/>
          <w:sz w:val="17"/>
          <w:szCs w:val="17"/>
          <w:color w:val="auto"/>
        </w:rPr>
        <w:t>Cash (used in) provided by financing activities increased $286.4 million from 2025 to 2026. The increase in cash (used in) provided by financing activities is primarily due to a decrease in proceeds from mortgages, bank and other notes payable of $240.0 million and increases in payments on mortgages, bank and other notes payable of $99.4 million and deferred financing costs of $13.0 million offset in part by an increase in proceeds from stock offering of $61.0 million and decrease in payments of finance leases of $4.4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47" w:lineRule="exact"/>
        <w:rPr>
          <w:sz w:val="20"/>
          <w:szCs w:val="20"/>
          <w:color w:val="auto"/>
        </w:rPr>
      </w:pPr>
    </w:p>
    <w:p>
      <w:pPr>
        <w:ind w:right="220" w:firstLine="433"/>
        <w:spacing w:after="0" w:line="277" w:lineRule="auto"/>
        <w:rPr>
          <w:sz w:val="20"/>
          <w:szCs w:val="20"/>
          <w:color w:val="auto"/>
        </w:rPr>
      </w:pPr>
      <w:r>
        <w:rPr>
          <w:rFonts w:ascii="Times New Roman" w:cs="Times New Roman" w:eastAsia="Times New Roman" w:hAnsi="Times New Roman"/>
          <w:sz w:val="17"/>
          <w:szCs w:val="17"/>
          <w:color w:val="auto"/>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revolving credit facility.</w:t>
      </w:r>
    </w:p>
    <w:p>
      <w:pPr>
        <w:spacing w:after="0" w:line="97" w:lineRule="exact"/>
        <w:rPr>
          <w:sz w:val="20"/>
          <w:szCs w:val="20"/>
          <w:color w:val="auto"/>
        </w:rPr>
      </w:pPr>
    </w:p>
    <w:p>
      <w:pPr>
        <w:ind w:right="40" w:firstLine="433"/>
        <w:spacing w:after="0" w:line="264" w:lineRule="auto"/>
        <w:rPr>
          <w:sz w:val="20"/>
          <w:szCs w:val="20"/>
          <w:color w:val="auto"/>
        </w:rPr>
      </w:pPr>
      <w:r>
        <w:rPr>
          <w:rFonts w:ascii="Times New Roman" w:cs="Times New Roman" w:eastAsia="Times New Roman" w:hAnsi="Times New Roman"/>
          <w:sz w:val="17"/>
          <w:szCs w:val="17"/>
          <w:color w:val="auto"/>
        </w:rPr>
        <w:t>Additionally, the Company is focused on implementing the Path Forward Plan, including its goal to reduce its Net Debt to Adjusted EBITDA leverage ratio to a lower level over the next two to three years. The Company may achieve this goal, and other goals set in connection with the Path Forward Plan, through a variety of methods and the timing, extent and impact of any transactions that the Company has or will undertake while implementing the Path Forward Plan may vary and evolve. In order to deleverage its capital structure, the Company may pursue asset dispositions and acquisitions, experience organic growth in 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Uses of Capital</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tables summarize capital expenditures incurred at the Centers (at the Company's pro rata share):</w:t>
      </w:r>
    </w:p>
    <w:p>
      <w:pPr>
        <w:spacing w:after="0" w:line="218"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25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4"/>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6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Consolidated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improvements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2,876</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Development, redevelopment, expansions and renovations of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34,002</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Tenant allowances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3,937</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leasing charges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1,532</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54,170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42,347</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Unconsolidated Joint Venture Centers: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improvements</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Development, redevelopment, expansions and renovations of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13,545</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Tenant allowances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leasing charges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20,286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16,611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expects amounts to be incurred during the next twelve months for tenant allowances and deferred leasing charges to be approximately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$75.0 million to $100.0 million. The Company expects to incur approximately $275.0 million to $325.0 million during the next twelve months for development,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redevelopment, expansion and renovations, which includes Scottsdale Fashion Square, Green Acres Mall and FlatIron Crossing (See "Redevelopment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Development Activities" in Management’s Overview and Summary). Capital for these expenditures, developments and/or redevelopments has been, and 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expected to continue to be, obtained from a combination of cash on hand, cash generated from operations, asset sales, debt or equity financings, which may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 borrowings under the Company's revolving credit facility and sales of common stock, from property financings and construction loans, each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extent available. The Company will be very selective in undertaking any future development or redevelopment projects and may choose to pause existing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projects if the Company believes they are no longer economically viable.</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Sources of Capital</w:t>
      </w:r>
    </w:p>
    <w:p>
      <w:pPr>
        <w:spacing w:after="0" w:line="161"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color w:val="auto"/>
        </w:rPr>
        <w:t>The Company has also generated liquidity in the past, and may continue to do so in the future, through equity offerings and issuances, property refinancings, joint venture transactions and the sale of non-core assets. Asset sales will focus on whether a property is core to the Company's strategy and may include defaulting on certain mortgage debts on the Company's properties and giving possession of such secured properties to the lender. For example, since implementing the Path Forward Plan in the second quarter of 2024, the Company has sold joint venture interests in properties and consolidated properties as described in “—Dispositions” in Management’s Overview and Summary. The Company used its share of proceeds from these transactions to pay down its revolving credit facility and other debt obligations. During the three months ended March 31, 2026 and the year ended December 31, 2025, the Company and/or certain joint venture partners sold various land parcels in separate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7"/>
          <w:szCs w:val="17"/>
          <w:color w:val="auto"/>
        </w:rPr>
        <w:t>transactions for net aggregate proceeds of $12.4 million and $20.1 million (at the Company's share), respectively, which the Company used to pay down debt and for other general corporate purposes.</w:t>
      </w:r>
    </w:p>
    <w:p>
      <w:pPr>
        <w:spacing w:after="0" w:line="67"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67" w:lineRule="exact"/>
        <w:rPr>
          <w:sz w:val="20"/>
          <w:szCs w:val="20"/>
          <w:color w:val="auto"/>
        </w:rPr>
      </w:pPr>
    </w:p>
    <w:p>
      <w:pPr>
        <w:ind w:right="60" w:firstLine="433"/>
        <w:spacing w:after="0" w:line="249" w:lineRule="auto"/>
        <w:rPr>
          <w:sz w:val="20"/>
          <w:szCs w:val="20"/>
          <w:color w:val="auto"/>
        </w:rPr>
      </w:pPr>
      <w:r>
        <w:rPr>
          <w:rFonts w:ascii="Times New Roman" w:cs="Times New Roman" w:eastAsia="Times New Roman" w:hAnsi="Times New Roman"/>
          <w:sz w:val="17"/>
          <w:szCs w:val="17"/>
          <w:color w:val="auto"/>
        </w:rPr>
        <w:t>On November 12, 2024, the Company registered an “at the market” offering program, pursuant to which the Company may issue and sell shares of its common stock having an aggregate offering price of up to $500.0 million, in amounts and at times to be determined by the Company. During the three months ended March 31, 2026, the Company sold 3.5 million shares of common stock for approximately $65.5 million of net proceeds through the 2024 ATM Program at a weighted average price of $19.00. As of March 31, 2026, the Company had approximately $307.3 million of gross sales of its common stock available under the 2024 ATM Program. Subsequent to quarter end, the Company sold 0.9 million shares of common stock for approximately $18.3 million of net proceeds through the 2024 ATM Program at a weighted average price of $19.99 per share.</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sets forth certain information with respect to issuances made under the 2024 ATM Program as of March 31, 2026.</w:t>
      </w:r>
    </w:p>
    <w:p>
      <w:pPr>
        <w:spacing w:after="0" w:line="192"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3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(Dollars and shares in thousands)</w:t>
            </w:r>
          </w:p>
        </w:tc>
        <w:tc>
          <w:tcPr>
            <w:tcW w:w="1160" w:type="dxa"/>
            <w:vAlign w:val="bottom"/>
          </w:tcPr>
          <w:p>
            <w:pPr>
              <w:spacing w:after="0"/>
              <w:rPr>
                <w:sz w:val="16"/>
                <w:szCs w:val="16"/>
                <w:color w:val="auto"/>
              </w:rPr>
            </w:pPr>
          </w:p>
        </w:tc>
        <w:tc>
          <w:tcPr>
            <w:tcW w:w="1740" w:type="dxa"/>
            <w:vAlign w:val="bottom"/>
            <w:gridSpan w:val="3"/>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w w:val="98"/>
              </w:rPr>
              <w:t>2024 ATM Program(1)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16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0"/>
                <w:szCs w:val="10"/>
                <w:color w:val="auto"/>
              </w:rPr>
            </w:pPr>
          </w:p>
        </w:tc>
        <w:tc>
          <w:tcPr>
            <w:tcW w:w="104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Sales Commissions</w:t>
            </w:r>
          </w:p>
        </w:tc>
        <w:tc>
          <w:tcPr>
            <w:tcW w:w="0" w:type="dxa"/>
            <w:vAlign w:val="bottom"/>
          </w:tcPr>
          <w:p>
            <w:pPr>
              <w:spacing w:after="0"/>
              <w:rPr>
                <w:sz w:val="1"/>
                <w:szCs w:val="1"/>
                <w:color w:val="auto"/>
              </w:rPr>
            </w:pPr>
          </w:p>
        </w:tc>
      </w:tr>
      <w:tr>
        <w:trPr>
          <w:trHeight w:val="191"/>
        </w:trPr>
        <w:tc>
          <w:tcPr>
            <w:tcW w:w="326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31, 2026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60,541</w:t>
            </w:r>
          </w:p>
        </w:tc>
        <w:tc>
          <w:tcPr>
            <w:tcW w:w="480" w:type="dxa"/>
            <w:vAlign w:val="bottom"/>
            <w:tcBorders>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60,541</w:t>
            </w:r>
          </w:p>
        </w:tc>
        <w:tc>
          <w:tcPr>
            <w:tcW w:w="4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(1) The table does not reflect 0.3 million shares sold on March 31, 2026 that did not settle until April 1, 2026 (See Note 13-Stockholders' Equity).</w:t>
      </w:r>
    </w:p>
    <w:p>
      <w:pPr>
        <w:spacing w:after="0" w:line="158" w:lineRule="exact"/>
        <w:rPr>
          <w:sz w:val="20"/>
          <w:szCs w:val="20"/>
          <w:color w:val="auto"/>
        </w:rPr>
      </w:pPr>
    </w:p>
    <w:p>
      <w:pPr>
        <w:ind w:right="120" w:firstLine="433"/>
        <w:spacing w:after="0" w:line="270" w:lineRule="auto"/>
        <w:rPr>
          <w:sz w:val="20"/>
          <w:szCs w:val="20"/>
          <w:color w:val="auto"/>
        </w:rPr>
      </w:pPr>
      <w:r>
        <w:rPr>
          <w:rFonts w:ascii="Times New Roman" w:cs="Times New Roman" w:eastAsia="Times New Roman" w:hAnsi="Times New Roman"/>
          <w:sz w:val="17"/>
          <w:szCs w:val="17"/>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including periods of economic slowdown or recession.</w:t>
      </w:r>
    </w:p>
    <w:p>
      <w:pPr>
        <w:spacing w:after="0" w:line="91"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For example, the credit markets have experienced and may continue to experience a slowdown stemming from broader market issues pertaining to various factors, including among others, the health of regional banks, prevailing market sentiment regarding various commercial real estate sectors and interest rate increases imposed by the Federal Reserve. While interest rates have begun to decrease, they remain elevated and the Company expects to incur increased interest expense from the refinancing or extension of loans that may carry below-market interest rates. In addition, increases in the Company's proportion of floating rate debt will cause it to be subject to interest rate fluctuations in the future.</w:t>
      </w:r>
    </w:p>
    <w:p>
      <w:pPr>
        <w:spacing w:after="0" w:line="106" w:lineRule="exact"/>
        <w:rPr>
          <w:sz w:val="20"/>
          <w:szCs w:val="20"/>
          <w:color w:val="auto"/>
        </w:rPr>
      </w:pPr>
    </w:p>
    <w:p>
      <w:pPr>
        <w:ind w:right="80" w:firstLine="433"/>
        <w:spacing w:after="0" w:line="264" w:lineRule="auto"/>
        <w:rPr>
          <w:sz w:val="20"/>
          <w:szCs w:val="20"/>
          <w:color w:val="auto"/>
        </w:rPr>
      </w:pPr>
      <w:r>
        <w:rPr>
          <w:rFonts w:ascii="Times New Roman" w:cs="Times New Roman" w:eastAsia="Times New Roman" w:hAnsi="Times New Roman"/>
          <w:sz w:val="17"/>
          <w:szCs w:val="17"/>
          <w:color w:val="auto"/>
        </w:rPr>
        <w:t>The Company's total outstanding loan indebtedness, which includes mortgages and other notes payable, at March 31, 2026 was $6.45 billion (consisting of $4.93 billion of consolidated debt, less $0.03 billion of noncontrolling interests, plus $1.55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revolving credit facility or cash on hand, with the exception of Santa Monica Place and Twenty Ninth Street (See “—Financing Activities” in Management’s Overview and Summary). The $76.5 million mortgage loan (at the Company's pro rata share) on Twenty Ninth Street is in default as of February 6, 2026. The Company's joint venture is in negotiations with the lender on the terms of the loan.</w:t>
      </w:r>
    </w:p>
    <w:p>
      <w:pPr>
        <w:spacing w:after="0" w:line="108" w:lineRule="exact"/>
        <w:rPr>
          <w:sz w:val="20"/>
          <w:szCs w:val="20"/>
          <w:color w:val="auto"/>
        </w:rPr>
      </w:pPr>
    </w:p>
    <w:p>
      <w:pPr>
        <w:ind w:right="100" w:firstLine="433"/>
        <w:spacing w:after="0" w:line="264" w:lineRule="auto"/>
        <w:rPr>
          <w:sz w:val="20"/>
          <w:szCs w:val="20"/>
          <w:color w:val="auto"/>
        </w:rPr>
      </w:pPr>
      <w:r>
        <w:rPr>
          <w:rFonts w:ascii="Times New Roman" w:cs="Times New Roman" w:eastAsia="Times New Roman" w:hAnsi="Times New Roman"/>
          <w:sz w:val="17"/>
          <w:szCs w:val="17"/>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310" w:lineRule="exact"/>
        <w:rPr>
          <w:sz w:val="20"/>
          <w:szCs w:val="20"/>
          <w:color w:val="auto"/>
        </w:rPr>
      </w:pPr>
    </w:p>
    <w:p>
      <w:pPr>
        <w:jc w:val="both"/>
        <w:ind w:right="200" w:firstLine="433"/>
        <w:spacing w:after="0" w:line="297" w:lineRule="auto"/>
        <w:rPr>
          <w:sz w:val="20"/>
          <w:szCs w:val="20"/>
          <w:color w:val="auto"/>
        </w:rPr>
      </w:pPr>
      <w:r>
        <w:rPr>
          <w:rFonts w:ascii="Times New Roman" w:cs="Times New Roman" w:eastAsia="Times New Roman" w:hAnsi="Times New Roman"/>
          <w:sz w:val="17"/>
          <w:szCs w:val="17"/>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right="140" w:firstLine="433"/>
        <w:spacing w:after="0" w:line="277" w:lineRule="auto"/>
        <w:rPr>
          <w:sz w:val="20"/>
          <w:szCs w:val="20"/>
          <w:color w:val="auto"/>
        </w:rPr>
      </w:pPr>
      <w:r>
        <w:rPr>
          <w:rFonts w:ascii="Times New Roman" w:cs="Times New Roman" w:eastAsia="Times New Roman" w:hAnsi="Times New Roman"/>
          <w:sz w:val="17"/>
          <w:szCs w:val="17"/>
          <w:color w:val="auto"/>
        </w:rPr>
        <w:t>Additionally, as of March 31, 2026, the Company was contingently liable for $1.0 million in letters of credit guaranteeing performance by the Company of certain obligations relating to the Centers. As of March 31, 2026, $0.4 million of these letters of credit were secured by restricted cash. The Company does not believe that these letters of credit will result in a liability to the Company.</w:t>
      </w:r>
    </w:p>
    <w:p>
      <w:pPr>
        <w:spacing w:after="0" w:line="84" w:lineRule="exact"/>
        <w:rPr>
          <w:sz w:val="20"/>
          <w:szCs w:val="20"/>
          <w:color w:val="auto"/>
        </w:rPr>
      </w:pPr>
    </w:p>
    <w:p>
      <w:pPr>
        <w:ind w:right="120" w:firstLine="433"/>
        <w:spacing w:after="0" w:line="270" w:lineRule="auto"/>
        <w:rPr>
          <w:sz w:val="20"/>
          <w:szCs w:val="20"/>
          <w:color w:val="auto"/>
        </w:rPr>
      </w:pPr>
      <w:r>
        <w:rPr>
          <w:rFonts w:ascii="Times New Roman" w:cs="Times New Roman" w:eastAsia="Times New Roman" w:hAnsi="Times New Roman"/>
          <w:sz w:val="17"/>
          <w:szCs w:val="17"/>
          <w:color w:val="auto"/>
        </w:rPr>
        <w:t>The Company continues to actively address its near-term, non-recourse loan maturities, with five completed transactions since the beginning of 2025 through the date of this Quarterly Report on Form 10-Q, totaling approximately $954.7 million, or approximately $829.5 million at the Company’s pro rata share. For additional information on the Company’s financing transactions in the year ended 2025 through the date of this Quarterly Report on Form 10-Q, see “Financing Activities” in Management’s Overview and Summary.</w:t>
      </w:r>
    </w:p>
    <w:p>
      <w:pPr>
        <w:spacing w:after="0" w:line="104" w:lineRule="exact"/>
        <w:rPr>
          <w:sz w:val="20"/>
          <w:szCs w:val="20"/>
          <w:color w:val="auto"/>
        </w:rPr>
      </w:pPr>
    </w:p>
    <w:p>
      <w:pPr>
        <w:ind w:right="160" w:firstLine="433"/>
        <w:spacing w:after="0" w:line="277" w:lineRule="auto"/>
        <w:rPr>
          <w:sz w:val="20"/>
          <w:szCs w:val="20"/>
          <w:color w:val="auto"/>
        </w:rPr>
      </w:pPr>
      <w:r>
        <w:rPr>
          <w:rFonts w:ascii="Times New Roman" w:cs="Times New Roman" w:eastAsia="Times New Roman" w:hAnsi="Times New Roman"/>
          <w:sz w:val="17"/>
          <w:szCs w:val="17"/>
          <w:color w:val="auto"/>
        </w:rPr>
        <w:t>On February 24, 2026, the Company and the Operating Partnership entered into an amended and restated credit agreement, which amended and restated their prior credit agreement, and provides for an aggregate $900.0 million revolving credit facility that matures on March 1, 2029, with a one-year extension option. The revolving credit facility can be expanded up to $1.1 billion, subject to receipt of lender commitments and other conditions.</w:t>
      </w:r>
    </w:p>
    <w:p>
      <w:pPr>
        <w:spacing w:after="0" w:line="97"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All obligations under the revolving credit facility are guaranteed unconditionally by the Company and certain subsidiary guarantors. The new revolving credit facility bears interest, at the Operating Partnership’s option, at either the base rate (as defined in the credit agreement) or term SOFR (as defined in the credit agreement) plus, in both cases, an applicable margin. The current applicable margin depends on the Company’s overall debt yield and ranges from 0.80% to 2.20% over the selected index rate. Upon the achievement of certain performance thresholds, the applicable margin will depend on the Company’s overall net debt to EBITDA ratio and will be in a range of 0.35% to 1.65% over the selected index rate. As of March 31, 2026, the applicable margin for base rate loans was 0.90% per annum and the applicable margin for term SOFR loans was 1.90% per annum.</w:t>
      </w:r>
    </w:p>
    <w:p>
      <w:pPr>
        <w:spacing w:after="0" w:line="95" w:lineRule="exact"/>
        <w:rPr>
          <w:sz w:val="20"/>
          <w:szCs w:val="20"/>
          <w:color w:val="auto"/>
        </w:rPr>
      </w:pPr>
    </w:p>
    <w:p>
      <w:pPr>
        <w:jc w:val="both"/>
        <w:ind w:right="140" w:firstLine="433"/>
        <w:spacing w:after="0" w:line="277" w:lineRule="auto"/>
        <w:rPr>
          <w:sz w:val="20"/>
          <w:szCs w:val="20"/>
          <w:color w:val="auto"/>
        </w:rPr>
      </w:pPr>
      <w:r>
        <w:rPr>
          <w:rFonts w:ascii="Times New Roman" w:cs="Times New Roman" w:eastAsia="Times New Roman" w:hAnsi="Times New Roman"/>
          <w:sz w:val="17"/>
          <w:szCs w:val="17"/>
          <w:color w:val="auto"/>
        </w:rPr>
        <w:t>As of March 31, 2026, the borrowing rate was SOFR plus a spread of 1.90%. As of March 31, 2026, borrowings under the revolving credit facility were $100.0 million less unamortized deferred finance costs of $18.0 million for the revolving credit facility at a total effective interest rate of 6.16%. As of March 31, 2026, the Company’s availability under the revolving credit facility for additional borrowings was $799.4 million.</w:t>
      </w:r>
    </w:p>
    <w:p>
      <w:pPr>
        <w:spacing w:after="0" w:line="97" w:lineRule="exact"/>
        <w:rPr>
          <w:sz w:val="20"/>
          <w:szCs w:val="20"/>
          <w:color w:val="auto"/>
        </w:rPr>
      </w:pPr>
    </w:p>
    <w:p>
      <w:pPr>
        <w:ind w:right="60" w:firstLine="433"/>
        <w:spacing w:after="0" w:line="297" w:lineRule="auto"/>
        <w:rPr>
          <w:sz w:val="20"/>
          <w:szCs w:val="20"/>
          <w:color w:val="auto"/>
        </w:rPr>
      </w:pPr>
      <w:r>
        <w:rPr>
          <w:rFonts w:ascii="Times New Roman" w:cs="Times New Roman" w:eastAsia="Times New Roman" w:hAnsi="Times New Roman"/>
          <w:sz w:val="17"/>
          <w:szCs w:val="17"/>
          <w:color w:val="auto"/>
        </w:rPr>
        <w:t>Cash dividends and distributions for the three months ended March 31, 2026 were $49.0 million (including distributions from consolidated joint ventures of $0.6 million), which were funded by operations.</w:t>
      </w:r>
    </w:p>
    <w:p>
      <w:pPr>
        <w:spacing w:after="0" w:line="80" w:lineRule="exact"/>
        <w:rPr>
          <w:sz w:val="20"/>
          <w:szCs w:val="20"/>
          <w:color w:val="auto"/>
        </w:rPr>
      </w:pPr>
    </w:p>
    <w:p>
      <w:pPr>
        <w:ind w:right="180" w:firstLine="433"/>
        <w:spacing w:after="0" w:line="297" w:lineRule="auto"/>
        <w:rPr>
          <w:sz w:val="20"/>
          <w:szCs w:val="20"/>
          <w:color w:val="auto"/>
        </w:rPr>
      </w:pPr>
      <w:r>
        <w:rPr>
          <w:rFonts w:ascii="Times New Roman" w:cs="Times New Roman" w:eastAsia="Times New Roman" w:hAnsi="Times New Roman"/>
          <w:sz w:val="17"/>
          <w:szCs w:val="17"/>
          <w:color w:val="auto"/>
        </w:rPr>
        <w:t>At March 31, 2026, the Company was in compliance with all applicable loan covenants under its agreements, with the exception of Santa Monica Place and Twenty Ninth Street, as discussed above.</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At March 31, 2026, the Company had cash and cash equivalents of $182.0 million.</w:t>
      </w: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Material Cash Commitments:</w:t>
      </w:r>
    </w:p>
    <w:p>
      <w:pPr>
        <w:spacing w:after="0" w:line="161" w:lineRule="exact"/>
        <w:rPr>
          <w:sz w:val="20"/>
          <w:szCs w:val="20"/>
          <w:color w:val="auto"/>
        </w:rPr>
      </w:pPr>
    </w:p>
    <w:p>
      <w:pPr>
        <w:ind w:right="20" w:firstLine="433"/>
        <w:spacing w:after="0" w:line="294" w:lineRule="auto"/>
        <w:rPr>
          <w:sz w:val="20"/>
          <w:szCs w:val="20"/>
          <w:color w:val="auto"/>
        </w:rPr>
      </w:pPr>
      <w:r>
        <w:rPr>
          <w:rFonts w:ascii="Times New Roman" w:cs="Times New Roman" w:eastAsia="Times New Roman" w:hAnsi="Times New Roman"/>
          <w:sz w:val="17"/>
          <w:szCs w:val="17"/>
          <w:color w:val="auto"/>
        </w:rPr>
        <w:t>The following is a schedule of material cash commitments as of March 31, 2026 for the Consolidated Centers over the periods in which they are expected to be paid (in thousands):</w:t>
      </w:r>
    </w:p>
    <w:tbl>
      <w:tblPr>
        <w:tblLayout w:type="fixed"/>
        <w:tblInd w:w="0" w:type="dxa"/>
        <w:tblCellMar>
          <w:top w:w="0" w:type="dxa"/>
          <w:left w:w="0" w:type="dxa"/>
          <w:bottom w:w="0" w:type="dxa"/>
          <w:right w:w="0" w:type="dxa"/>
        </w:tblCellMar>
      </w:tblPr>
      <w:tr>
        <w:trPr>
          <w:trHeight w:val="185"/>
        </w:trPr>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Commitments</w:t>
            </w:r>
          </w:p>
        </w:tc>
        <w:tc>
          <w:tcPr>
            <w:tcW w:w="300" w:type="dxa"/>
            <w:vAlign w:val="bottom"/>
          </w:tcPr>
          <w:p>
            <w:pPr>
              <w:spacing w:after="0"/>
              <w:rPr>
                <w:sz w:val="10"/>
                <w:szCs w:val="10"/>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0"/>
                <w:szCs w:val="10"/>
                <w:color w:val="auto"/>
              </w:rPr>
            </w:pPr>
          </w:p>
        </w:tc>
        <w:tc>
          <w:tcPr>
            <w:tcW w:w="1080" w:type="dxa"/>
            <w:vAlign w:val="bottom"/>
          </w:tcPr>
          <w:p>
            <w:pPr>
              <w:jc w:val="right"/>
              <w:ind w:right="300"/>
              <w:spacing w:after="0" w:line="12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right"/>
              <w:ind w:right="460"/>
              <w:spacing w:after="0" w:line="125"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right"/>
              <w:ind w:right="460"/>
              <w:spacing w:after="0" w:line="125" w:lineRule="exact"/>
              <w:rPr>
                <w:sz w:val="20"/>
                <w:szCs w:val="20"/>
                <w:color w:val="auto"/>
              </w:rPr>
            </w:pPr>
            <w:r>
              <w:rPr>
                <w:rFonts w:ascii="Times New Roman" w:cs="Times New Roman" w:eastAsia="Times New Roman" w:hAnsi="Times New Roman"/>
                <w:sz w:val="14"/>
                <w:szCs w:val="14"/>
                <w:b w:val="1"/>
                <w:bCs w:val="1"/>
                <w:color w:val="auto"/>
              </w:rPr>
              <w:t>3 - 5</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right"/>
              <w:ind w:right="280"/>
              <w:spacing w:after="0" w:line="125"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1"/>
        </w:trPr>
        <w:tc>
          <w:tcPr>
            <w:tcW w:w="35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110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157"/>
        </w:trPr>
        <w:tc>
          <w:tcPr>
            <w:tcW w:w="358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7"/>
                <w:szCs w:val="17"/>
                <w:color w:val="auto"/>
              </w:rPr>
              <w:t>Long-term debt obligations (includes expected</w:t>
            </w: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payments)(1)</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5,853,813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951,794</w:t>
            </w:r>
          </w:p>
        </w:tc>
        <w:tc>
          <w:tcPr>
            <w:tcW w:w="3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(3)</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1,571,875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2,554,230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775,914</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Lease obligations(2)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113,182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9,138</w:t>
            </w:r>
          </w:p>
        </w:tc>
        <w:tc>
          <w:tcPr>
            <w:tcW w:w="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69,745</w:t>
            </w:r>
          </w:p>
        </w:tc>
        <w:tc>
          <w:tcPr>
            <w:tcW w:w="0" w:type="dxa"/>
            <w:vAlign w:val="bottom"/>
          </w:tcPr>
          <w:p>
            <w:pPr>
              <w:spacing w:after="0"/>
              <w:rPr>
                <w:sz w:val="1"/>
                <w:szCs w:val="1"/>
                <w:color w:val="auto"/>
              </w:rPr>
            </w:pPr>
          </w:p>
        </w:tc>
      </w:tr>
      <w:tr>
        <w:trPr>
          <w:trHeight w:val="241"/>
        </w:trPr>
        <w:tc>
          <w:tcPr>
            <w:tcW w:w="35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5,966,995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960,932</w:t>
            </w:r>
          </w:p>
        </w:tc>
        <w:tc>
          <w:tcPr>
            <w:tcW w:w="3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1,592,891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2,567,513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845,659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p>
      <w:pPr>
        <w:spacing w:after="0" w:line="22" w:lineRule="exact"/>
        <w:rPr>
          <w:sz w:val="20"/>
          <w:szCs w:val="20"/>
          <w:color w:val="auto"/>
        </w:rPr>
      </w:pPr>
    </w:p>
    <w:p>
      <w:pPr>
        <w:ind w:left="320" w:hanging="315"/>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floating rate debt were based on rates in effect at March 31, 2026.</w:t>
      </w:r>
    </w:p>
    <w:p>
      <w:pPr>
        <w:spacing w:after="0" w:line="14" w:lineRule="exact"/>
        <w:rPr>
          <w:rFonts w:ascii="Times New Roman" w:cs="Times New Roman" w:eastAsia="Times New Roman" w:hAnsi="Times New Roman"/>
          <w:sz w:val="16"/>
          <w:szCs w:val="16"/>
          <w:color w:val="auto"/>
        </w:rPr>
      </w:pPr>
    </w:p>
    <w:p>
      <w:pPr>
        <w:ind w:left="320" w:hanging="315"/>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8—Leases in the Company's Notes to the Consolidated Financial Statements.</w:t>
      </w:r>
    </w:p>
    <w:p>
      <w:pPr>
        <w:ind w:left="320" w:right="260" w:hanging="315"/>
        <w:spacing w:after="0" w:line="262"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$300.0 million non-recourse loan on Santa Monica Place which the Company defaulted on in April 9, 2024. The Company is still the owner of record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Funds From Operations ("FFO")</w:t>
      </w:r>
    </w:p>
    <w:p>
      <w:pPr>
        <w:spacing w:after="0" w:line="147" w:lineRule="exact"/>
        <w:rPr>
          <w:sz w:val="20"/>
          <w:szCs w:val="20"/>
          <w:color w:val="auto"/>
        </w:rPr>
      </w:pPr>
    </w:p>
    <w:p>
      <w:pPr>
        <w:ind w:right="80" w:firstLine="433"/>
        <w:spacing w:after="0" w:line="266" w:lineRule="auto"/>
        <w:rPr>
          <w:sz w:val="20"/>
          <w:szCs w:val="20"/>
          <w:color w:val="auto"/>
        </w:rPr>
      </w:pPr>
      <w:r>
        <w:rPr>
          <w:rFonts w:ascii="Times New Roman" w:cs="Times New Roman" w:eastAsia="Times New Roman" w:hAnsi="Times New Roman"/>
          <w:sz w:val="17"/>
          <w:szCs w:val="17"/>
          <w:color w:val="auto"/>
        </w:rPr>
        <w:t xml:space="preserve">The Company uses FFO in addition to net loss to report its operating and financial results and considers FFO and FFO </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diluted as supplemental measures for the real estate industry and a supplement to GAAP measures. The National Association of Real Estate Investment Trusts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320" w:lineRule="exact"/>
        <w:rPr>
          <w:sz w:val="20"/>
          <w:szCs w:val="20"/>
          <w:color w:val="auto"/>
        </w:rPr>
      </w:pPr>
    </w:p>
    <w:p>
      <w:pPr>
        <w:ind w:right="40" w:firstLine="433"/>
        <w:spacing w:after="0" w:line="297" w:lineRule="auto"/>
        <w:rPr>
          <w:sz w:val="20"/>
          <w:szCs w:val="20"/>
          <w:color w:val="auto"/>
        </w:rPr>
      </w:pPr>
      <w:r>
        <w:rPr>
          <w:rFonts w:ascii="Times New Roman" w:cs="Times New Roman" w:eastAsia="Times New Roman" w:hAnsi="Times New Roman"/>
          <w:sz w:val="17"/>
          <w:szCs w:val="17"/>
          <w:color w:val="auto"/>
        </w:rPr>
        <w:t>The Company also presents FFO, as adjusted. The Company calculates FFO, as adjusted, by excluding from FFO the impact of properties in receivership, default interest expense and gain or loss on non-real estate investments.</w:t>
      </w:r>
    </w:p>
    <w:p>
      <w:pPr>
        <w:spacing w:after="0" w:line="80" w:lineRule="exact"/>
        <w:rPr>
          <w:sz w:val="20"/>
          <w:szCs w:val="20"/>
          <w:color w:val="auto"/>
        </w:rPr>
      </w:pPr>
    </w:p>
    <w:p>
      <w:pPr>
        <w:ind w:right="60" w:firstLine="433"/>
        <w:spacing w:after="0" w:line="260" w:lineRule="auto"/>
        <w:rPr>
          <w:sz w:val="20"/>
          <w:szCs w:val="20"/>
          <w:color w:val="auto"/>
        </w:rPr>
      </w:pPr>
      <w:r>
        <w:rPr>
          <w:rFonts w:ascii="Times New Roman" w:cs="Times New Roman" w:eastAsia="Times New Roman" w:hAnsi="Times New Roman"/>
          <w:sz w:val="17"/>
          <w:szCs w:val="17"/>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more meaningful measure of its operating results in comparison to the operating results of other REITs. In addition, the Company believes that FFO, as adjusted, which excludes the impact associated with properties in receivership, default interest expense and impact of non-cash changes in the market value of non-real estate investments provides useful supplemental information regarding the Company's performance as it shows a more meaningful and consistent comparison of the Company's operating performance and allows investors to more easily compare the Company's results. Santa Monica Place has been under control of a court appointed receiver since March 18, 2025 and the Company has excluded the FFO impact from this property for all periods presented. Effective (i) April 9, 2024, default interest expense has been accrued on the non-recourse loan on Santa Monica Place; (ii) November 6, 2025 through February 5, 2026, default interest expense was incurred on the non-recourse loan at South Plains Mall; and (iii) February 6, 2026, default interest expense has been accrued on the non-recourse loan at Twenty Ninth Street. The Company is required under GAAP to accrue default interest expense, which is expected to be reversed or paid, once a loan is modified or once title to the mortgaged loan collateral is transferred. The Company believes that default interest on non-recourse loans, and any related reversal thereof should be excluded. The Company holds certain non-real estate investments that are subject to mark to market changes every quarter. These investments are not core to the Company's business, and the changes to market value and the related gain or loss are entirely non-cash in nature. As a result, the Company believes that the gain or loss on non-real estate investments should be excluded.</w:t>
      </w:r>
    </w:p>
    <w:p>
      <w:pPr>
        <w:spacing w:after="0" w:line="102" w:lineRule="exact"/>
        <w:rPr>
          <w:sz w:val="20"/>
          <w:szCs w:val="20"/>
          <w:color w:val="auto"/>
        </w:rPr>
      </w:pPr>
    </w:p>
    <w:p>
      <w:pPr>
        <w:ind w:right="340" w:firstLine="433"/>
        <w:spacing w:after="0" w:line="277" w:lineRule="auto"/>
        <w:rPr>
          <w:sz w:val="20"/>
          <w:szCs w:val="20"/>
          <w:color w:val="auto"/>
        </w:rPr>
      </w:pPr>
      <w:r>
        <w:rPr>
          <w:rFonts w:ascii="Times New Roman" w:cs="Times New Roman" w:eastAsia="Times New Roman" w:hAnsi="Times New Roman"/>
          <w:sz w:val="17"/>
          <w:szCs w:val="17"/>
          <w:color w:val="auto"/>
        </w:rPr>
        <w:t>The Company further believes that FFO and FFO, as adjusted, does not represent cash flow from operations as defined by GAAP, should not be considered as an alternative to net income (loss) as defined by GAAP, and is not indicative of cash available to fund all cash flow needs. The Company also cautions that FFO and FFO as adjusted, as presented, may not be comparable to similarly titled measures reported by other REITs.</w:t>
      </w:r>
    </w:p>
    <w:p>
      <w:pPr>
        <w:spacing w:after="0" w:line="97"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Management compensates for the limitations of FFO and FFO, as adjusted, by providing investors with financial statements prepared according to GAAP, along with this detailed discussion of FFO and FFO, as adjusted, and a reconciliation of net loss to FFO and FFO, as adjusted, diluted. Management believes that to further understand the Company's performance, FFO and FFO, as adjusted, should be compared with the Company's reported net loss and considered in addition to cash flows in accordance with GAAP, as presented in the Company's consolidated financial statements. The following reconciles net loss attributable to the Company to FFO attributable to common stockholders and unit holders</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basic and diluted and FFO, as adjusted, attributable to common stockholders and unit holders</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basic and diluted, for the three months ended March 31, 2026 and 2025 (dollars and shares in thousands):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p>
      <w:pPr>
        <w:jc w:val="center"/>
        <w:ind w:left="474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9" w:lineRule="exact"/>
        <w:rPr>
          <w:sz w:val="20"/>
          <w:szCs w:val="20"/>
          <w:color w:val="auto"/>
        </w:rPr>
      </w:pPr>
    </w:p>
    <w:tbl>
      <w:tblPr>
        <w:tblLayout w:type="fixed"/>
        <w:tblInd w:w="440" w:type="dxa"/>
        <w:tblCellMar>
          <w:top w:w="0" w:type="dxa"/>
          <w:left w:w="0" w:type="dxa"/>
          <w:bottom w:w="0" w:type="dxa"/>
          <w:right w:w="0" w:type="dxa"/>
        </w:tblCellMar>
      </w:tblPr>
      <w:tr>
        <w:trPr>
          <w:trHeight w:val="204"/>
        </w:trPr>
        <w:tc>
          <w:tcPr>
            <w:tcW w:w="64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Company</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(50,123)</w:t>
            </w:r>
          </w:p>
        </w:tc>
        <w:tc>
          <w:tcPr>
            <w:tcW w:w="0" w:type="dxa"/>
            <w:vAlign w:val="bottom"/>
          </w:tcPr>
          <w:p>
            <w:pPr>
              <w:spacing w:after="0"/>
              <w:rPr>
                <w:sz w:val="1"/>
                <w:szCs w:val="1"/>
                <w:color w:val="auto"/>
              </w:rPr>
            </w:pPr>
          </w:p>
        </w:tc>
      </w:tr>
      <w:tr>
        <w:trPr>
          <w:trHeight w:val="157"/>
        </w:trPr>
        <w:tc>
          <w:tcPr>
            <w:tcW w:w="64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Adjustments to reconcile net loss attributable to the Company to FFO attributable to common</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and unit holders—basic and diluted: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0" w:type="dxa"/>
            <w:vAlign w:val="bottom"/>
          </w:tcPr>
          <w:p>
            <w:pPr>
              <w:spacing w:after="0"/>
              <w:rPr>
                <w:sz w:val="1"/>
                <w:szCs w:val="1"/>
                <w:color w:val="auto"/>
              </w:rPr>
            </w:pPr>
          </w:p>
        </w:tc>
      </w:tr>
      <w:tr>
        <w:trPr>
          <w:trHeight w:val="208"/>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sale or write down of assets, net—consolidated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13,987</w:t>
            </w:r>
          </w:p>
        </w:tc>
        <w:tc>
          <w:tcPr>
            <w:tcW w:w="0" w:type="dxa"/>
            <w:vAlign w:val="bottom"/>
          </w:tcPr>
          <w:p>
            <w:pPr>
              <w:spacing w:after="0"/>
              <w:rPr>
                <w:sz w:val="1"/>
                <w:szCs w:val="1"/>
                <w:color w:val="auto"/>
              </w:rPr>
            </w:pPr>
          </w:p>
        </w:tc>
      </w:tr>
      <w:tr>
        <w:trPr>
          <w:trHeight w:val="212"/>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noncontrolling interests' share of gain on sale or write down of assets—consolidated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gain on sale of undepreciated assets—consolidated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0" w:type="dxa"/>
            <w:vAlign w:val="bottom"/>
          </w:tcPr>
          <w:p>
            <w:pPr>
              <w:spacing w:after="0"/>
              <w:rPr>
                <w:sz w:val="1"/>
                <w:szCs w:val="1"/>
                <w:color w:val="auto"/>
              </w:rPr>
            </w:pPr>
          </w:p>
        </w:tc>
      </w:tr>
      <w:tr>
        <w:trPr>
          <w:trHeight w:val="212"/>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 or write down of assets—unconsolidated joint ventures, net(1)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0" w:type="dxa"/>
            <w:vAlign w:val="bottom"/>
          </w:tcPr>
          <w:p>
            <w:pPr>
              <w:spacing w:after="0"/>
              <w:rPr>
                <w:sz w:val="1"/>
                <w:szCs w:val="1"/>
                <w:color w:val="auto"/>
              </w:rPr>
            </w:pPr>
          </w:p>
        </w:tc>
      </w:tr>
      <w:tr>
        <w:trPr>
          <w:trHeight w:val="208"/>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loss on sale of undepreciated assets—unconsolidated joint ventures(1)</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2"/>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amortization—consolidated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92,562</w:t>
            </w:r>
          </w:p>
        </w:tc>
        <w:tc>
          <w:tcPr>
            <w:tcW w:w="0" w:type="dxa"/>
            <w:vAlign w:val="bottom"/>
          </w:tcPr>
          <w:p>
            <w:pPr>
              <w:spacing w:after="0"/>
              <w:rPr>
                <w:sz w:val="1"/>
                <w:szCs w:val="1"/>
                <w:color w:val="auto"/>
              </w:rPr>
            </w:pPr>
          </w:p>
        </w:tc>
      </w:tr>
      <w:tr>
        <w:trPr>
          <w:trHeight w:val="208"/>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in depreciation and amortization—consolidated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12"/>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amortization—unconsolidated joint ventures(1)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27,783</w:t>
            </w:r>
          </w:p>
        </w:tc>
        <w:tc>
          <w:tcPr>
            <w:tcW w:w="0" w:type="dxa"/>
            <w:vAlign w:val="bottom"/>
          </w:tcPr>
          <w:p>
            <w:pPr>
              <w:spacing w:after="0"/>
              <w:rPr>
                <w:sz w:val="1"/>
                <w:szCs w:val="1"/>
                <w:color w:val="auto"/>
              </w:rPr>
            </w:pPr>
          </w:p>
        </w:tc>
      </w:tr>
      <w:tr>
        <w:trPr>
          <w:trHeight w:val="208"/>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depreciation on personal property</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0" w:type="dxa"/>
            <w:vAlign w:val="bottom"/>
          </w:tcPr>
          <w:p>
            <w:pPr>
              <w:spacing w:after="0"/>
              <w:rPr>
                <w:sz w:val="1"/>
                <w:szCs w:val="1"/>
                <w:color w:val="auto"/>
              </w:rPr>
            </w:pPr>
          </w:p>
        </w:tc>
      </w:tr>
      <w:tr>
        <w:trPr>
          <w:trHeight w:val="20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 and diluted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80,973</w:t>
            </w:r>
          </w:p>
        </w:tc>
        <w:tc>
          <w:tcPr>
            <w:tcW w:w="0" w:type="dxa"/>
            <w:vAlign w:val="bottom"/>
          </w:tcPr>
          <w:p>
            <w:pPr>
              <w:spacing w:after="0"/>
              <w:rPr>
                <w:sz w:val="1"/>
                <w:szCs w:val="1"/>
                <w:color w:val="auto"/>
              </w:rPr>
            </w:pPr>
          </w:p>
        </w:tc>
      </w:tr>
      <w:tr>
        <w:trPr>
          <w:trHeight w:val="208"/>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Default interest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08"/>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non-real estate investments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in receivership</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0" w:type="dxa"/>
            <w:vAlign w:val="bottom"/>
          </w:tcPr>
          <w:p>
            <w:pPr>
              <w:spacing w:after="0"/>
              <w:rPr>
                <w:sz w:val="1"/>
                <w:szCs w:val="1"/>
                <w:color w:val="auto"/>
              </w:rPr>
            </w:pPr>
          </w:p>
        </w:tc>
      </w:tr>
      <w:tr>
        <w:trPr>
          <w:trHeight w:val="205"/>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 as adjusted —basic and diluted</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92,383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89,764</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FFO shares outstanding for:</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holders—basic(2)</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263,851</w:t>
            </w:r>
          </w:p>
        </w:tc>
        <w:tc>
          <w:tcPr>
            <w:tcW w:w="0" w:type="dxa"/>
            <w:vAlign w:val="bottom"/>
          </w:tcPr>
          <w:p>
            <w:pPr>
              <w:spacing w:after="0"/>
              <w:rPr>
                <w:sz w:val="1"/>
                <w:szCs w:val="1"/>
                <w:color w:val="auto"/>
              </w:rPr>
            </w:pPr>
          </w:p>
        </w:tc>
      </w:tr>
      <w:tr>
        <w:trPr>
          <w:trHeight w:val="21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for impact of dilutive securities in computing FFO—diluted: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and unit based compensation plans</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9"/>
        </w:trPr>
        <w:tc>
          <w:tcPr>
            <w:tcW w:w="6400" w:type="dxa"/>
            <w:vAlign w:val="bottom"/>
            <w:tcBorders>
              <w:top w:val="single" w:sz="8" w:color="CCEEFF"/>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color w:val="auto"/>
              </w:rPr>
              <w:t>Weighted average number of FFO shares outstanding for FFO attributable to common</w:t>
            </w: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269,392</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263,851</w:t>
            </w:r>
          </w:p>
        </w:tc>
        <w:tc>
          <w:tcPr>
            <w:tcW w:w="0" w:type="dxa"/>
            <w:vAlign w:val="bottom"/>
          </w:tcPr>
          <w:p>
            <w:pPr>
              <w:spacing w:after="0"/>
              <w:rPr>
                <w:sz w:val="1"/>
                <w:szCs w:val="1"/>
                <w:color w:val="auto"/>
              </w:rPr>
            </w:pPr>
          </w:p>
        </w:tc>
      </w:tr>
      <w:tr>
        <w:trPr>
          <w:trHeight w:val="204"/>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and unit holders—basic and diluted(2)</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380" w:hanging="375"/>
        <w:spacing w:after="0"/>
        <w:tabs>
          <w:tab w:leader="none" w:pos="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Unconsolidated joint ventures are presented at the Company's pro rata share.</w:t>
      </w:r>
    </w:p>
    <w:p>
      <w:pPr>
        <w:spacing w:after="0" w:line="143" w:lineRule="exact"/>
        <w:rPr>
          <w:rFonts w:ascii="Times New Roman" w:cs="Times New Roman" w:eastAsia="Times New Roman" w:hAnsi="Times New Roman"/>
          <w:sz w:val="16"/>
          <w:szCs w:val="16"/>
          <w:color w:val="auto"/>
        </w:rPr>
      </w:pPr>
    </w:p>
    <w:p>
      <w:pPr>
        <w:ind w:left="400" w:right="400" w:hanging="395"/>
        <w:spacing w:after="0" w:line="268" w:lineRule="auto"/>
        <w:tabs>
          <w:tab w:leader="none" w:pos="38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upon basic net income as adjusted to reach basic FFO. Includes 11.4 million and 10.9 million of OP Units outstanding for the three months ended March 31, 2026 and 2025, respectively.</w:t>
      </w:r>
    </w:p>
    <w:p>
      <w:pPr>
        <w:spacing w:after="0" w:line="100" w:lineRule="exact"/>
        <w:rPr>
          <w:rFonts w:ascii="Times New Roman" w:cs="Times New Roman" w:eastAsia="Times New Roman" w:hAnsi="Times New Roman"/>
          <w:sz w:val="16"/>
          <w:szCs w:val="16"/>
          <w:color w:val="auto"/>
        </w:rPr>
      </w:pPr>
    </w:p>
    <w:p>
      <w:pPr>
        <w:ind w:left="40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Operating Income – Go-Forward Portfolio Centers ("NOI – Go-Forward Portfolio Centers")</w:t>
      </w:r>
    </w:p>
    <w:p>
      <w:pPr>
        <w:spacing w:after="0" w:line="147" w:lineRule="exact"/>
        <w:rPr>
          <w:sz w:val="20"/>
          <w:szCs w:val="20"/>
          <w:color w:val="auto"/>
        </w:rPr>
      </w:pPr>
    </w:p>
    <w:p>
      <w:pPr>
        <w:ind w:right="60" w:firstLine="433"/>
        <w:spacing w:after="0" w:line="263" w:lineRule="auto"/>
        <w:rPr>
          <w:sz w:val="20"/>
          <w:szCs w:val="20"/>
          <w:color w:val="auto"/>
        </w:rPr>
      </w:pPr>
      <w:r>
        <w:rPr>
          <w:rFonts w:ascii="Times New Roman" w:cs="Times New Roman" w:eastAsia="Times New Roman" w:hAnsi="Times New Roman"/>
          <w:sz w:val="17"/>
          <w:szCs w:val="17"/>
          <w:color w:val="auto"/>
        </w:rPr>
        <w:t>The Company presents NOI – Go-Forward Portfolio Centers because the Company believes it is useful for investors to evaluate the operating performance of comparable centers. NOI – Go-Forward Portfolio Centers is calculated using earnings before interest, income taxes, depreciation, amortization, noncontrolling interests in the Operating Partnership, extraordinary items, loss (gain) on remeasurement, sale or write down of assets, loss (gain) on extinguishment of debt and preferred dividends and includes joint ventures at their pro rata share and eliminating the impact of the Management Companies’ revenues and operating expenses, leasing expenses (including joint ventures at pro rata), the Company’s REIT general and administrative expenses, corporate and other income and expenses and the straight-line and above/below market adjustments to minimum rents and subtracting out NOI from non-Go-Forward Portfolio Centers. The Company also presents NOI – Go-Forward Portfolio Centers, excluding lease termination income, as the Company believes that it is useful for investors to evaluate operating performance without the impact of lease termination income.</w:t>
      </w:r>
    </w:p>
    <w:p>
      <w:pPr>
        <w:spacing w:after="0" w:line="109" w:lineRule="exact"/>
        <w:rPr>
          <w:sz w:val="20"/>
          <w:szCs w:val="20"/>
          <w:color w:val="auto"/>
        </w:rPr>
      </w:pPr>
    </w:p>
    <w:p>
      <w:pPr>
        <w:ind w:firstLine="433"/>
        <w:spacing w:after="0" w:line="269" w:lineRule="auto"/>
        <w:rPr>
          <w:sz w:val="20"/>
          <w:szCs w:val="20"/>
          <w:color w:val="auto"/>
        </w:rPr>
      </w:pPr>
      <w:r>
        <w:rPr>
          <w:rFonts w:ascii="Times New Roman" w:cs="Times New Roman" w:eastAsia="Times New Roman" w:hAnsi="Times New Roman"/>
          <w:sz w:val="17"/>
          <w:szCs w:val="17"/>
          <w:color w:val="auto"/>
        </w:rPr>
        <w:t>Management compensates for the limitations of NOI – Go-Forward Portfolio Centers by providing investors with financial statements prepared according to GAAP, along with this detailed discussion of NOI – Go-Forward Portfolio Centers and a reconciliation of net loss attributable to the Company to NOI – All Centers and NOI – Go-Forward Portfolio Centers. Management believes that to further understand the Company’s performance, NOI – All Centers and NOI – Go-Forward Portfolio Centers should be compared with the Company’s reported net income (loss), as presented in the Company’s consolidated financial statements.</w:t>
      </w: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reconciles net loss attributable to the Company to NOI – All Centers and NOI – Go-Forward Portfolio Centers for the three months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 and 2025 (dollars in thousands):</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76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1"/>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Company</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(36,350)</w:t>
            </w:r>
          </w:p>
        </w:tc>
        <w:tc>
          <w:tcPr>
            <w:tcW w:w="100" w:type="dxa"/>
            <w:vAlign w:val="bottom"/>
          </w:tcPr>
          <w:p>
            <w:pPr>
              <w:spacing w:after="0"/>
              <w:rPr>
                <w:sz w:val="17"/>
                <w:szCs w:val="17"/>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(50,123)</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 consolidated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67,500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69,074</w:t>
            </w:r>
          </w:p>
        </w:tc>
      </w:tr>
      <w:tr>
        <w:trPr>
          <w:trHeight w:val="208"/>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 unconsolidated joint ventures (pro rata)</w:t>
            </w:r>
          </w:p>
        </w:tc>
        <w:tc>
          <w:tcPr>
            <w:tcW w:w="30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19,918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22,158</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 consolidated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83,076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92,562</w:t>
            </w:r>
          </w:p>
        </w:tc>
      </w:tr>
      <w:tr>
        <w:trPr>
          <w:trHeight w:val="208"/>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 unconsolidated joint ventures (pro rata)</w:t>
            </w:r>
          </w:p>
        </w:tc>
        <w:tc>
          <w:tcPr>
            <w:tcW w:w="30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28,797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27,783</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the OP</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w:t>
            </w:r>
          </w:p>
        </w:tc>
      </w:tr>
      <w:tr>
        <w:trPr>
          <w:trHeight w:val="208"/>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Interest expense and depreciation and amortization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allocable to noncontrolling interests in consolidated joint ventures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r>
      <w:tr>
        <w:trPr>
          <w:trHeight w:val="208"/>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on sale or write down of assets, net - consolidated assets</w:t>
            </w:r>
          </w:p>
        </w:tc>
        <w:tc>
          <w:tcPr>
            <w:tcW w:w="30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(6,840)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13,987</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sale or write down of assets, net - unconsolidated joint ventures (pro rata)</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r>
      <w:tr>
        <w:trPr>
          <w:trHeight w:val="208"/>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Noncontrolling interests' share of loss on sale or write-down of consolidated joint ventures, net</w:t>
            </w:r>
          </w:p>
        </w:tc>
        <w:tc>
          <w:tcPr>
            <w:tcW w:w="30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(2,641)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r>
      <w:tr>
        <w:trPr>
          <w:trHeight w:val="208"/>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on preferred units</w:t>
            </w:r>
          </w:p>
        </w:tc>
        <w:tc>
          <w:tcPr>
            <w:tcW w:w="30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REIT general and administrative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8,026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7,612</w:t>
            </w:r>
          </w:p>
        </w:tc>
      </w:tr>
      <w:tr>
        <w:trPr>
          <w:trHeight w:val="208"/>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 Companies' revenues</w:t>
            </w:r>
          </w:p>
        </w:tc>
        <w:tc>
          <w:tcPr>
            <w:tcW w:w="30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(6,543)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(4,921)</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 Companies' operating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22,385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20,783</w:t>
            </w:r>
          </w:p>
        </w:tc>
      </w:tr>
      <w:tr>
        <w:trPr>
          <w:trHeight w:val="208"/>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Leasing expenses, including joint ventures at pro rata</w:t>
            </w:r>
          </w:p>
        </w:tc>
        <w:tc>
          <w:tcPr>
            <w:tcW w:w="30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14,800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12,043</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expenses (income) (1)</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(6,703)</w:t>
            </w:r>
          </w:p>
        </w:tc>
      </w:tr>
      <w:tr>
        <w:trPr>
          <w:trHeight w:val="208"/>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Straight-line and above/below market rent adjustments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(3,734)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w:t>
            </w:r>
          </w:p>
        </w:tc>
      </w:tr>
      <w:tr>
        <w:trPr>
          <w:trHeight w:val="20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NOI - All Centers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191,120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200,570</w:t>
            </w:r>
          </w:p>
        </w:tc>
      </w:tr>
      <w:tr>
        <w:trPr>
          <w:trHeight w:val="208"/>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NOI of non-Go-Forward Portfolio Centers (2)</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(18,249)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(25,074)</w:t>
            </w:r>
          </w:p>
        </w:tc>
      </w:tr>
      <w:tr>
        <w:trPr>
          <w:trHeight w:val="20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NOI - Go-Forward Portfolio Centers (2)</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172,871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175,496</w:t>
            </w:r>
          </w:p>
        </w:tc>
      </w:tr>
      <w:tr>
        <w:trPr>
          <w:trHeight w:val="208"/>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 termination income of Go-Forward Portfolio Centers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w:t>
            </w:r>
          </w:p>
        </w:tc>
      </w:tr>
      <w:tr>
        <w:trPr>
          <w:trHeight w:val="204"/>
        </w:trPr>
        <w:tc>
          <w:tcPr>
            <w:tcW w:w="760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NOI - Go-Forward Portfolio Centers, excluding lease termination income</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1"/>
              <w:spacing w:after="0" w:line="178" w:lineRule="exact"/>
              <w:rPr>
                <w:sz w:val="20"/>
                <w:szCs w:val="20"/>
                <w:color w:val="auto"/>
              </w:rPr>
            </w:pPr>
            <w:r>
              <w:rPr>
                <w:rFonts w:ascii="Times New Roman" w:cs="Times New Roman" w:eastAsia="Times New Roman" w:hAnsi="Times New Roman"/>
                <w:sz w:val="16"/>
                <w:szCs w:val="16"/>
                <w:color w:val="auto"/>
              </w:rPr>
              <w:t>172,701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170,697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7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NOI - Go-Forward Portfolio Centers percentage change, including lease termination income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6"/>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NOI - Go-Forward Portfolio Centers percentage change, excluding lease termination income</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9" w:lineRule="exact"/>
        <w:rPr>
          <w:sz w:val="20"/>
          <w:szCs w:val="20"/>
          <w:color w:val="auto"/>
        </w:rPr>
      </w:pPr>
    </w:p>
    <w:p>
      <w:pPr>
        <w:ind w:left="800" w:hanging="402"/>
        <w:spacing w:after="0" w:line="259" w:lineRule="auto"/>
        <w:tabs>
          <w:tab w:leader="none" w:pos="8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(income) expense components excluded from NOI - All Centers, including legal claims settlement income, interest income, non-real estate investments, and other assets.</w:t>
      </w:r>
    </w:p>
    <w:p>
      <w:pPr>
        <w:spacing w:after="0" w:line="1" w:lineRule="exact"/>
        <w:rPr>
          <w:rFonts w:ascii="Times New Roman" w:cs="Times New Roman" w:eastAsia="Times New Roman" w:hAnsi="Times New Roman"/>
          <w:sz w:val="16"/>
          <w:szCs w:val="16"/>
          <w:color w:val="auto"/>
        </w:rPr>
      </w:pPr>
    </w:p>
    <w:p>
      <w:pPr>
        <w:ind w:left="800" w:right="180" w:hanging="402"/>
        <w:spacing w:after="0" w:line="262" w:lineRule="auto"/>
        <w:tabs>
          <w:tab w:leader="none" w:pos="8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calculation, the Acquisition Property (Crabtree Mall) is included in the non Go-Forward Portfolio Centers and excluded from the Go-Forward Portfolio Centers as it was acquired on June 23, 2025.</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Company's primary market risk exposure is interest rate risk. The Company has managed and will continue to manage interest rate risk by</w:t>
      </w:r>
    </w:p>
    <w:p>
      <w:pPr>
        <w:spacing w:after="0" w:line="32" w:lineRule="exact"/>
        <w:rPr>
          <w:sz w:val="20"/>
          <w:szCs w:val="20"/>
          <w:color w:val="auto"/>
        </w:rPr>
      </w:pPr>
    </w:p>
    <w:p>
      <w:pPr>
        <w:ind w:firstLine="5"/>
        <w:spacing w:after="0" w:line="266" w:lineRule="auto"/>
        <w:tabs>
          <w:tab w:leader="none" w:pos="247"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06" w:lineRule="exact"/>
        <w:rPr>
          <w:sz w:val="20"/>
          <w:szCs w:val="20"/>
          <w:color w:val="auto"/>
        </w:rPr>
      </w:pPr>
    </w:p>
    <w:p>
      <w:pPr>
        <w:ind w:right="120" w:firstLine="433"/>
        <w:spacing w:after="0" w:line="277" w:lineRule="auto"/>
        <w:rPr>
          <w:sz w:val="20"/>
          <w:szCs w:val="20"/>
          <w:color w:val="auto"/>
        </w:rPr>
      </w:pPr>
      <w:r>
        <w:rPr>
          <w:rFonts w:ascii="Times New Roman" w:cs="Times New Roman" w:eastAsia="Times New Roman" w:hAnsi="Times New Roman"/>
          <w:sz w:val="17"/>
          <w:szCs w:val="17"/>
          <w:color w:val="auto"/>
        </w:rPr>
        <w:t>The following table sets forth information as of March 31, 2026 concerning the Company's long-term debt obligations, including principal cash flows by scheduled maturity, weighted average interest rates and estimated fair value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8"/>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twelve months ending March 31,</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2027</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432,217</w:t>
            </w:r>
          </w:p>
        </w:tc>
        <w:tc>
          <w:tcPr>
            <w:tcW w:w="28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1,211,878</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19,528</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1,832,888</w:t>
            </w:r>
          </w:p>
        </w:tc>
        <w:tc>
          <w:tcPr>
            <w:tcW w:w="12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301,302</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644,353</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4,442,166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4,306,565</w:t>
            </w:r>
          </w:p>
        </w:tc>
        <w:tc>
          <w:tcPr>
            <w:tcW w:w="0" w:type="dxa"/>
            <w:vAlign w:val="bottom"/>
          </w:tcPr>
          <w:p>
            <w:pPr>
              <w:spacing w:after="0"/>
              <w:rPr>
                <w:sz w:val="1"/>
                <w:szCs w:val="1"/>
                <w:color w:val="auto"/>
              </w:rPr>
            </w:pPr>
          </w:p>
        </w:tc>
      </w:tr>
      <w:tr>
        <w:trPr>
          <w:trHeight w:val="204"/>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4.02 %</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4.33 %</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40" w:type="dxa"/>
            <w:vAlign w:val="bottom"/>
          </w:tcPr>
          <w:p>
            <w:pPr>
              <w:spacing w:after="0"/>
              <w:rPr>
                <w:sz w:val="16"/>
                <w:szCs w:val="16"/>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300,000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259,100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559,100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559,375</w:t>
            </w:r>
          </w:p>
        </w:tc>
        <w:tc>
          <w:tcPr>
            <w:tcW w:w="0" w:type="dxa"/>
            <w:vAlign w:val="bottom"/>
          </w:tcPr>
          <w:p>
            <w:pPr>
              <w:spacing w:after="0"/>
              <w:rPr>
                <w:sz w:val="1"/>
                <w:szCs w:val="1"/>
                <w:color w:val="auto"/>
              </w:rPr>
            </w:pPr>
          </w:p>
        </w:tc>
      </w:tr>
      <w:tr>
        <w:trPr>
          <w:trHeight w:val="204"/>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5.19 %</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5.97 %</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6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Total debt—Consolidated</w:t>
            </w:r>
          </w:p>
        </w:tc>
        <w:tc>
          <w:tcPr>
            <w:tcW w:w="24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732,217</w:t>
            </w:r>
          </w:p>
        </w:tc>
        <w:tc>
          <w:tcPr>
            <w:tcW w:w="280" w:type="dxa"/>
            <w:vAlign w:val="bottom"/>
          </w:tcPr>
          <w:p>
            <w:pPr>
              <w:spacing w:after="0"/>
              <w:rPr>
                <w:sz w:val="9"/>
                <w:szCs w:val="9"/>
                <w:color w:val="auto"/>
              </w:rPr>
            </w:pPr>
          </w:p>
        </w:tc>
        <w:tc>
          <w:tcPr>
            <w:tcW w:w="22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1,211,878</w:t>
            </w:r>
          </w:p>
        </w:tc>
        <w:tc>
          <w:tcPr>
            <w:tcW w:w="100" w:type="dxa"/>
            <w:vAlign w:val="bottom"/>
          </w:tcPr>
          <w:p>
            <w:pPr>
              <w:spacing w:after="0"/>
              <w:rPr>
                <w:sz w:val="9"/>
                <w:szCs w:val="9"/>
                <w:color w:val="auto"/>
              </w:rPr>
            </w:pPr>
          </w:p>
        </w:tc>
        <w:tc>
          <w:tcPr>
            <w:tcW w:w="22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19,528</w:t>
            </w:r>
          </w:p>
        </w:tc>
        <w:tc>
          <w:tcPr>
            <w:tcW w:w="100" w:type="dxa"/>
            <w:vAlign w:val="bottom"/>
          </w:tcPr>
          <w:p>
            <w:pPr>
              <w:spacing w:after="0"/>
              <w:rPr>
                <w:sz w:val="9"/>
                <w:szCs w:val="9"/>
                <w:color w:val="auto"/>
              </w:rPr>
            </w:pPr>
          </w:p>
        </w:tc>
        <w:tc>
          <w:tcPr>
            <w:tcW w:w="24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2,091,988</w:t>
            </w:r>
          </w:p>
        </w:tc>
        <w:tc>
          <w:tcPr>
            <w:tcW w:w="120" w:type="dxa"/>
            <w:vAlign w:val="bottom"/>
          </w:tcPr>
          <w:p>
            <w:pPr>
              <w:spacing w:after="0"/>
              <w:rPr>
                <w:sz w:val="9"/>
                <w:szCs w:val="9"/>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301,302</w:t>
            </w:r>
          </w:p>
        </w:tc>
        <w:tc>
          <w:tcPr>
            <w:tcW w:w="100" w:type="dxa"/>
            <w:vAlign w:val="bottom"/>
          </w:tcPr>
          <w:p>
            <w:pPr>
              <w:spacing w:after="0"/>
              <w:rPr>
                <w:sz w:val="9"/>
                <w:szCs w:val="9"/>
                <w:color w:val="auto"/>
              </w:rPr>
            </w:pPr>
          </w:p>
        </w:tc>
        <w:tc>
          <w:tcPr>
            <w:tcW w:w="1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644,353</w:t>
            </w:r>
          </w:p>
        </w:tc>
        <w:tc>
          <w:tcPr>
            <w:tcW w:w="100" w:type="dxa"/>
            <w:vAlign w:val="bottom"/>
          </w:tcPr>
          <w:p>
            <w:pPr>
              <w:spacing w:after="0"/>
              <w:rPr>
                <w:sz w:val="9"/>
                <w:szCs w:val="9"/>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5,001,266</w:t>
            </w:r>
          </w:p>
        </w:tc>
        <w:tc>
          <w:tcPr>
            <w:tcW w:w="12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4,865,940</w:t>
            </w:r>
          </w:p>
        </w:tc>
        <w:tc>
          <w:tcPr>
            <w:tcW w:w="0" w:type="dxa"/>
            <w:vAlign w:val="bottom"/>
          </w:tcPr>
          <w:p>
            <w:pPr>
              <w:spacing w:after="0"/>
              <w:rPr>
                <w:sz w:val="1"/>
                <w:szCs w:val="1"/>
                <w:color w:val="auto"/>
              </w:rPr>
            </w:pPr>
          </w:p>
        </w:tc>
      </w:tr>
      <w:tr>
        <w:trPr>
          <w:trHeight w:val="172"/>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Centers</w:t>
            </w: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68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UNCONSOLIDATED</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6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JOINT VENTURE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Long-term debt (at</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Company's pro rata share):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153,995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446,495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460,299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239,872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235,327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8,833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1,544,821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1,524,493</w:t>
            </w:r>
          </w:p>
        </w:tc>
        <w:tc>
          <w:tcPr>
            <w:tcW w:w="0" w:type="dxa"/>
            <w:vAlign w:val="bottom"/>
          </w:tcPr>
          <w:p>
            <w:pPr>
              <w:spacing w:after="0"/>
              <w:rPr>
                <w:sz w:val="1"/>
                <w:szCs w:val="1"/>
                <w:color w:val="auto"/>
              </w:rPr>
            </w:pPr>
          </w:p>
        </w:tc>
      </w:tr>
      <w:tr>
        <w:trPr>
          <w:trHeight w:val="190"/>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3.93 %</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12,038</w:t>
            </w:r>
          </w:p>
        </w:tc>
        <w:tc>
          <w:tcPr>
            <w:tcW w:w="0" w:type="dxa"/>
            <w:vAlign w:val="bottom"/>
          </w:tcPr>
          <w:p>
            <w:pPr>
              <w:spacing w:after="0"/>
              <w:rPr>
                <w:sz w:val="1"/>
                <w:szCs w:val="1"/>
                <w:color w:val="auto"/>
              </w:rPr>
            </w:pPr>
          </w:p>
        </w:tc>
      </w:tr>
      <w:tr>
        <w:trPr>
          <w:trHeight w:val="190"/>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6"/>
                <w:szCs w:val="16"/>
                <w:color w:val="auto"/>
              </w:rPr>
            </w:pP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80" w:type="dxa"/>
            <w:vAlign w:val="bottom"/>
            <w:tcBorders>
              <w:top w:val="single" w:sz="8" w:color="CCEEFF"/>
            </w:tcBorders>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Total debt—Unconsolidated</w:t>
            </w:r>
          </w:p>
        </w:tc>
        <w:tc>
          <w:tcPr>
            <w:tcW w:w="24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153,995</w:t>
            </w:r>
          </w:p>
        </w:tc>
        <w:tc>
          <w:tcPr>
            <w:tcW w:w="2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446,495</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472,299</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239,872</w:t>
            </w: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235,327</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8,833</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1,556,821</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1,536,531</w:t>
            </w:r>
          </w:p>
        </w:tc>
        <w:tc>
          <w:tcPr>
            <w:tcW w:w="0" w:type="dxa"/>
            <w:vAlign w:val="bottom"/>
          </w:tcPr>
          <w:p>
            <w:pPr>
              <w:spacing w:after="0"/>
              <w:rPr>
                <w:sz w:val="1"/>
                <w:szCs w:val="1"/>
                <w:color w:val="auto"/>
              </w:rPr>
            </w:pPr>
          </w:p>
        </w:tc>
      </w:tr>
      <w:tr>
        <w:trPr>
          <w:trHeight w:val="18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 Centers</w:t>
            </w: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9" w:lineRule="exact"/>
        <w:rPr>
          <w:sz w:val="20"/>
          <w:szCs w:val="20"/>
          <w:color w:val="auto"/>
        </w:rPr>
      </w:pPr>
    </w:p>
    <w:p>
      <w:pPr>
        <w:ind w:left="800" w:right="180" w:hanging="402"/>
        <w:spacing w:after="0" w:line="285" w:lineRule="auto"/>
        <w:tabs>
          <w:tab w:leader="none" w:pos="8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7, 2026, the Company's joint venture replaced the existing $131.2 million loan on Deptford Mall with a new $115.0 million, five year fixed rate loan (See Note 21—Subsequent Events in the Notes to the Consolidated Financial Statements).</w:t>
      </w:r>
    </w:p>
    <w:p>
      <w:pPr>
        <w:spacing w:after="0" w:line="83" w:lineRule="exact"/>
        <w:rPr>
          <w:sz w:val="20"/>
          <w:szCs w:val="20"/>
          <w:color w:val="auto"/>
        </w:rPr>
      </w:pPr>
    </w:p>
    <w:p>
      <w:pPr>
        <w:ind w:right="140" w:firstLine="433"/>
        <w:spacing w:after="0" w:line="270" w:lineRule="auto"/>
        <w:rPr>
          <w:sz w:val="20"/>
          <w:szCs w:val="20"/>
          <w:color w:val="auto"/>
        </w:rPr>
      </w:pPr>
      <w:r>
        <w:rPr>
          <w:rFonts w:ascii="Times New Roman" w:cs="Times New Roman" w:eastAsia="Times New Roman" w:hAnsi="Times New Roman"/>
          <w:sz w:val="17"/>
          <w:szCs w:val="17"/>
          <w:color w:val="auto"/>
        </w:rPr>
        <w:t>The Consolidated Centers' total fixed rate debt at March 31, 2026 and December 31, 2025 was $4.4 billion and $4.7 billion, respectively. The average interest rate on the fixed rate debt at March 31, 2026 and December 31, 2025 was 4.61% and 4.56%, respectively. The Consolidated Centers' total floating rate debt at March 31, 2026 and December 31, 2025 was $559.1 million and $459.1 million, respectively. The average interest rate on the floating rate debt at March 31, 2026 and December 31, 2025 was 5.55% and 5.62%, respectively.</w:t>
      </w:r>
    </w:p>
    <w:p>
      <w:pPr>
        <w:spacing w:after="0" w:line="91" w:lineRule="exact"/>
        <w:rPr>
          <w:sz w:val="20"/>
          <w:szCs w:val="20"/>
          <w:color w:val="auto"/>
        </w:rPr>
      </w:pPr>
    </w:p>
    <w:p>
      <w:pPr>
        <w:ind w:right="60" w:firstLine="433"/>
        <w:spacing w:after="0" w:line="270" w:lineRule="auto"/>
        <w:rPr>
          <w:sz w:val="20"/>
          <w:szCs w:val="20"/>
          <w:color w:val="auto"/>
        </w:rPr>
      </w:pPr>
      <w:r>
        <w:rPr>
          <w:rFonts w:ascii="Times New Roman" w:cs="Times New Roman" w:eastAsia="Times New Roman" w:hAnsi="Times New Roman"/>
          <w:sz w:val="17"/>
          <w:szCs w:val="17"/>
          <w:color w:val="auto"/>
        </w:rPr>
        <w:t>The Company's pro rata share of the Unconsolidated Joint Venture Centers' fixed rate debt at March 31, 2026 and December 31, 2025 was $1.5 billion. The average interest rate on the fixed rate debt at March 31, 2026 and December 31, 2025 was 5.30% and 5.29%, respectively. The Company's pro rata share of the Unconsolidated Joint Venture Centers' floating rate debt at March 31, 2026 and December 31, 2025 was $12.0 million. The average interest rate on the floating rate debt at March 31, 2026 and December 31, 2025 was 6.17% and 6.28%, respectively.</w:t>
      </w:r>
    </w:p>
    <w:p>
      <w:pPr>
        <w:spacing w:after="0" w:line="104" w:lineRule="exact"/>
        <w:rPr>
          <w:sz w:val="20"/>
          <w:szCs w:val="20"/>
          <w:color w:val="auto"/>
        </w:rPr>
      </w:pPr>
    </w:p>
    <w:p>
      <w:pPr>
        <w:jc w:val="both"/>
        <w:ind w:right="160" w:firstLine="433"/>
        <w:spacing w:after="0" w:line="265" w:lineRule="auto"/>
        <w:rPr>
          <w:sz w:val="20"/>
          <w:szCs w:val="20"/>
          <w:color w:val="auto"/>
        </w:rPr>
      </w:pPr>
      <w:r>
        <w:rPr>
          <w:rFonts w:ascii="Times New Roman" w:cs="Times New Roman" w:eastAsia="Times New Roman" w:hAnsi="Times New Roman"/>
          <w:sz w:val="17"/>
          <w:szCs w:val="17"/>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March 31, 2026, the Company has interest rate cap agreements in place (See Note 4—Investments in Unconsolidated Joint Ventures and Note 5—Derivative Instruments and Hedging Activities in the Company's Notes to the Consolidated Financial Statements). The respective loans require an interest rate cap agreement to be in place at all times, which limits how high the prevailing floating loan rate index (i.e., SOFR)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17"/>
          <w:szCs w:val="17"/>
          <w:color w:val="auto"/>
        </w:rPr>
        <w:t>for the loans can rise. As of the date of this Quarterly Report on Form 10-Q, SOFR for each of these loans did not exceed the strike interest rate within the required interest rate cap agreements.</w:t>
      </w:r>
    </w:p>
    <w:p>
      <w:pPr>
        <w:spacing w:after="0" w:line="67" w:lineRule="exact"/>
        <w:rPr>
          <w:sz w:val="20"/>
          <w:szCs w:val="20"/>
          <w:color w:val="auto"/>
        </w:rPr>
      </w:pPr>
    </w:p>
    <w:p>
      <w:pPr>
        <w:ind w:right="360" w:firstLine="433"/>
        <w:spacing w:after="0" w:line="297" w:lineRule="auto"/>
        <w:rPr>
          <w:sz w:val="20"/>
          <w:szCs w:val="20"/>
          <w:color w:val="auto"/>
        </w:rPr>
      </w:pPr>
      <w:r>
        <w:rPr>
          <w:rFonts w:ascii="Times New Roman" w:cs="Times New Roman" w:eastAsia="Times New Roman" w:hAnsi="Times New Roman"/>
          <w:sz w:val="17"/>
          <w:szCs w:val="17"/>
          <w:color w:val="auto"/>
        </w:rPr>
        <w:t>In addition, the Company has assessed the market risk for its floating rate debt and believes that a 1% increase in interest rates would decrease future earnings and cash flows by approximately $5.7 million per year based on $571.1 million of floating rate debt outstanding at March 31, 2026.</w:t>
      </w:r>
    </w:p>
    <w:p>
      <w:pPr>
        <w:spacing w:after="0" w:line="80"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10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required by Rule 13a-15(b) under the Securities Exchange Act of 1934, as amended (the "Exchange Act"), management carried out an evaluation,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supervision and with the participation of the Company's Chief Executive Officer and Chief Financial Officer, of the effectiveness of the Company's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disclosure controls and procedures as of the end of the period covered by this Quarterly Report on Form 10-Q. Based on their evaluation as of March 31, 2026,</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Chief Executive Officer and Chief Financial Officer have concluded that the Company's disclosure controls and procedures (as defined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Rule 13a-15(e) and 15d-15(e) under the Exchange Act) were effective to ensure that the information required to be disclosed by the Company in the reports that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files or submits under the Exchange Act is (a) recorded, processed, summarized, and reported within the time periods specified in the SEC's rules and forms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(b) accumulated and communicated to the Company's management, including its Chief Executive Officer and Chief Financial Officer, or persons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performing similar functions, as appropriate to allow timely decisions regarding required disclosure.</w:t>
      </w:r>
    </w:p>
    <w:p>
      <w:pPr>
        <w:spacing w:after="0" w:line="141" w:lineRule="exact"/>
        <w:rPr>
          <w:sz w:val="20"/>
          <w:szCs w:val="20"/>
          <w:color w:val="auto"/>
        </w:rPr>
      </w:pPr>
    </w:p>
    <w:p>
      <w:pPr>
        <w:ind w:right="540" w:firstLine="433"/>
        <w:spacing w:after="0" w:line="277" w:lineRule="auto"/>
        <w:rPr>
          <w:sz w:val="20"/>
          <w:szCs w:val="20"/>
          <w:color w:val="auto"/>
        </w:rPr>
      </w:pPr>
      <w:r>
        <w:rPr>
          <w:rFonts w:ascii="Times New Roman" w:cs="Times New Roman" w:eastAsia="Times New Roman" w:hAnsi="Times New Roman"/>
          <w:sz w:val="17"/>
          <w:szCs w:val="17"/>
          <w:color w:val="auto"/>
        </w:rPr>
        <w:t>In addition, there has been no change in the Company's internal control over financial reporting (as such term is defined in Rules 13a-15(f) and 15(d)-15(f) under the Exchange Act) that occurred during the Company's most recent fiscal quarter that has materially affected, or is reasonably likely to materially affect, the Company's internal control over financial reporting.</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61" w:lineRule="exact"/>
        <w:rPr>
          <w:sz w:val="20"/>
          <w:szCs w:val="20"/>
          <w:color w:val="auto"/>
        </w:rPr>
      </w:pPr>
    </w:p>
    <w:p>
      <w:pPr>
        <w:ind w:right="260" w:firstLine="433"/>
        <w:spacing w:after="0" w:line="297" w:lineRule="auto"/>
        <w:rPr>
          <w:sz w:val="20"/>
          <w:szCs w:val="20"/>
          <w:color w:val="auto"/>
        </w:rPr>
      </w:pPr>
      <w:r>
        <w:rPr>
          <w:rFonts w:ascii="Times New Roman" w:cs="Times New Roman" w:eastAsia="Times New Roman" w:hAnsi="Times New Roman"/>
          <w:sz w:val="17"/>
          <w:szCs w:val="17"/>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47" w:lineRule="exact"/>
        <w:rPr>
          <w:sz w:val="20"/>
          <w:szCs w:val="20"/>
          <w:color w:val="auto"/>
        </w:rPr>
      </w:pPr>
    </w:p>
    <w:p>
      <w:pPr>
        <w:ind w:right="320" w:firstLine="433"/>
        <w:spacing w:after="0" w:line="297" w:lineRule="auto"/>
        <w:rPr>
          <w:sz w:val="20"/>
          <w:szCs w:val="20"/>
          <w:color w:val="auto"/>
        </w:rPr>
      </w:pPr>
      <w:r>
        <w:rPr>
          <w:rFonts w:ascii="Times New Roman" w:cs="Times New Roman" w:eastAsia="Times New Roman" w:hAnsi="Times New Roman"/>
          <w:sz w:val="17"/>
          <w:szCs w:val="17"/>
          <w:color w:val="auto"/>
        </w:rPr>
        <w:t>There have been no material changes to the risk factors relating to the Company set forth under the caption "Item 1A. Risk Factors" in the Company's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47" w:lineRule="exact"/>
        <w:rPr>
          <w:sz w:val="20"/>
          <w:szCs w:val="20"/>
          <w:color w:val="auto"/>
        </w:rPr>
      </w:pPr>
    </w:p>
    <w:p>
      <w:pPr>
        <w:ind w:right="200" w:firstLine="438"/>
        <w:spacing w:after="0" w:line="277" w:lineRule="auto"/>
        <w:tabs>
          <w:tab w:leader="none" w:pos="67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12, 2026, the Company, as general partner of the Operating Partnership, issued 286,338 shares of common stock of the Company, upon redemption of 286,338 common partnership units of the Operating Partnership. These shares of common stock were issued in a private placement to a limited partner of the Operating Partnership, an accredited investor, pursuant to Section 4(a)(2) of the Securities Act of 1933, as amended.</w:t>
      </w:r>
    </w:p>
    <w:p>
      <w:pPr>
        <w:spacing w:after="0" w:line="96" w:lineRule="exact"/>
        <w:rPr>
          <w:rFonts w:ascii="Times New Roman" w:cs="Times New Roman" w:eastAsia="Times New Roman" w:hAnsi="Times New Roman"/>
          <w:sz w:val="17"/>
          <w:szCs w:val="17"/>
          <w:color w:val="auto"/>
        </w:rPr>
      </w:pPr>
    </w:p>
    <w:p>
      <w:pPr>
        <w:ind w:left="680" w:hanging="242"/>
        <w:spacing w:after="0"/>
        <w:tabs>
          <w:tab w:leader="none" w:pos="68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158" w:lineRule="exact"/>
        <w:rPr>
          <w:rFonts w:ascii="Times New Roman" w:cs="Times New Roman" w:eastAsia="Times New Roman" w:hAnsi="Times New Roman"/>
          <w:sz w:val="17"/>
          <w:szCs w:val="17"/>
          <w:color w:val="auto"/>
        </w:rPr>
      </w:pPr>
    </w:p>
    <w:p>
      <w:pPr>
        <w:ind w:left="240" w:hanging="235"/>
        <w:spacing w:after="0"/>
        <w:tabs>
          <w:tab w:leader="none" w:pos="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Issuer Purchases of Equity Securities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8"/>
              </w:rPr>
              <w:t>Approximate Dollar</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center"/>
              <w:ind w:right="281"/>
              <w:spacing w:after="0" w:line="158" w:lineRule="exact"/>
              <w:rPr>
                <w:sz w:val="20"/>
                <w:szCs w:val="20"/>
                <w:color w:val="auto"/>
              </w:rPr>
            </w:pPr>
            <w:r>
              <w:rPr>
                <w:rFonts w:ascii="Times New Roman" w:cs="Times New Roman" w:eastAsia="Times New Roman" w:hAnsi="Times New Roman"/>
                <w:sz w:val="16"/>
                <w:szCs w:val="16"/>
                <w:b w:val="1"/>
                <w:bCs w:val="1"/>
                <w:color w:val="auto"/>
                <w:w w:val="96"/>
              </w:rPr>
              <w:t>Value of Shares That</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2"/>
          </w:tcPr>
          <w:p>
            <w:pPr>
              <w:jc w:val="center"/>
              <w:ind w:right="161"/>
              <w:spacing w:after="0" w:line="158" w:lineRule="exact"/>
              <w:rPr>
                <w:sz w:val="20"/>
                <w:szCs w:val="20"/>
                <w:color w:val="auto"/>
              </w:rPr>
            </w:pPr>
            <w:r>
              <w:rPr>
                <w:rFonts w:ascii="Times New Roman" w:cs="Times New Roman" w:eastAsia="Times New Roman" w:hAnsi="Times New Roman"/>
                <w:sz w:val="16"/>
                <w:szCs w:val="16"/>
                <w:b w:val="1"/>
                <w:bCs w:val="1"/>
                <w:color w:val="auto"/>
                <w:w w:val="96"/>
              </w:rPr>
              <w:t>May Yet Be Purchased</w:t>
            </w:r>
          </w:p>
        </w:tc>
        <w:tc>
          <w:tcPr>
            <w:tcW w:w="0" w:type="dxa"/>
            <w:vAlign w:val="bottom"/>
          </w:tcPr>
          <w:p>
            <w:pPr>
              <w:spacing w:after="0"/>
              <w:rPr>
                <w:sz w:val="1"/>
                <w:szCs w:val="1"/>
                <w:color w:val="auto"/>
              </w:rPr>
            </w:pPr>
          </w:p>
        </w:tc>
      </w:tr>
      <w:tr>
        <w:trPr>
          <w:trHeight w:val="157"/>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vMerge w:val="restart"/>
          </w:tcPr>
          <w:p>
            <w:pPr>
              <w:spacing w:after="0"/>
              <w:rPr>
                <w:sz w:val="13"/>
                <w:szCs w:val="13"/>
                <w:color w:val="auto"/>
              </w:rPr>
            </w:pPr>
          </w:p>
        </w:tc>
        <w:tc>
          <w:tcPr>
            <w:tcW w:w="1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Publicly Announced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center"/>
              <w:ind w:right="281"/>
              <w:spacing w:after="0" w:line="158" w:lineRule="exact"/>
              <w:rPr>
                <w:sz w:val="20"/>
                <w:szCs w:val="20"/>
                <w:color w:val="auto"/>
              </w:rPr>
            </w:pPr>
            <w:r>
              <w:rPr>
                <w:rFonts w:ascii="Times New Roman" w:cs="Times New Roman" w:eastAsia="Times New Roman" w:hAnsi="Times New Roman"/>
                <w:sz w:val="16"/>
                <w:szCs w:val="16"/>
                <w:b w:val="1"/>
                <w:bCs w:val="1"/>
                <w:color w:val="auto"/>
                <w:w w:val="98"/>
              </w:rPr>
              <w:t>Under the Plans or</w:t>
            </w:r>
          </w:p>
        </w:tc>
        <w:tc>
          <w:tcPr>
            <w:tcW w:w="0" w:type="dxa"/>
            <w:vAlign w:val="bottom"/>
          </w:tcPr>
          <w:p>
            <w:pPr>
              <w:spacing w:after="0"/>
              <w:rPr>
                <w:sz w:val="1"/>
                <w:szCs w:val="1"/>
                <w:color w:val="auto"/>
              </w:rPr>
            </w:pPr>
          </w:p>
        </w:tc>
      </w:tr>
      <w:tr>
        <w:trPr>
          <w:trHeight w:val="209"/>
        </w:trPr>
        <w:tc>
          <w:tcPr>
            <w:tcW w:w="3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7"/>
              </w:rPr>
              <w:t>Programs (1)</w:t>
            </w:r>
          </w:p>
        </w:tc>
        <w:tc>
          <w:tcPr>
            <w:tcW w:w="0" w:type="dxa"/>
            <w:vAlign w:val="bottom"/>
          </w:tcPr>
          <w:p>
            <w:pPr>
              <w:spacing w:after="0"/>
              <w:rPr>
                <w:sz w:val="1"/>
                <w:szCs w:val="1"/>
                <w:color w:val="auto"/>
              </w:rPr>
            </w:pPr>
          </w:p>
        </w:tc>
      </w:tr>
      <w:tr>
        <w:trPr>
          <w:trHeight w:val="217"/>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2026 to January 31, 2026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1, 2026 to February 28, 2026</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3"/>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2026 to March 31, 2026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1180" w:hanging="546"/>
        <w:spacing w:after="0" w:line="285" w:lineRule="auto"/>
        <w:tabs>
          <w:tab w:leader="none" w:pos="11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12, 2017, the Company's Board of Directors authorized the repurchase of up to $500.0 million of the Company's outstanding common shares from time to time as market conditions warrant.</w:t>
      </w:r>
    </w:p>
    <w:p>
      <w:pPr>
        <w:spacing w:after="0" w:line="81" w:lineRule="exact"/>
        <w:rPr>
          <w:sz w:val="20"/>
          <w:szCs w:val="20"/>
          <w:color w:val="auto"/>
        </w:rPr>
      </w:pPr>
    </w:p>
    <w:p>
      <w:pPr>
        <w:jc w:val="center"/>
        <w:ind w:right="8240"/>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47" w:lineRule="exact"/>
        <w:rPr>
          <w:sz w:val="20"/>
          <w:szCs w:val="20"/>
          <w:color w:val="auto"/>
        </w:rPr>
      </w:pPr>
    </w:p>
    <w:p>
      <w:pPr>
        <w:jc w:val="center"/>
        <w:ind w:right="92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7"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61" w:lineRule="exact"/>
        <w:rPr>
          <w:sz w:val="20"/>
          <w:szCs w:val="20"/>
          <w:color w:val="auto"/>
        </w:rPr>
      </w:pPr>
    </w:p>
    <w:p>
      <w:pPr>
        <w:jc w:val="center"/>
        <w:ind w:right="92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43" w:lineRule="exact"/>
        <w:rPr>
          <w:sz w:val="20"/>
          <w:szCs w:val="20"/>
          <w:color w:val="auto"/>
        </w:rPr>
      </w:pPr>
    </w:p>
    <w:p>
      <w:pPr>
        <w:jc w:val="center"/>
        <w:ind w:right="9220"/>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61"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During the three months ended March 31, 2026, none of the Company’s directors or officers (as defined in Rule 16a-1(f) of the Exchange Act)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3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040" w:type="dxa"/>
            <w:vAlign w:val="bottom"/>
          </w:tcPr>
          <w:p>
            <w:pPr>
              <w:jc w:val="center"/>
              <w:ind w:right="245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2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85"/>
        </w:trPr>
        <w:tc>
          <w:tcPr>
            <w:tcW w:w="3040" w:type="dxa"/>
            <w:vAlign w:val="bottom"/>
          </w:tcPr>
          <w:p>
            <w:pPr>
              <w:jc w:val="center"/>
              <w:ind w:right="247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113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1365" cy="8255"/>
                    </a:xfrm>
                    <a:prstGeom prst="rect">
                      <a:avLst/>
                    </a:prstGeom>
                    <a:noFill/>
                  </pic:spPr>
                </pic:pic>
              </a:graphicData>
            </a:graphic>
          </wp:anchor>
        </w:drawing>
      </w:r>
    </w:p>
    <w:p>
      <w:pPr>
        <w:ind w:left="1120" w:right="40" w:hanging="357"/>
        <w:spacing w:after="0" w:line="232" w:lineRule="auto"/>
        <w:tabs>
          <w:tab w:leader="none" w:pos="1100" w:val="left"/>
        </w:tabs>
        <w:rPr>
          <w:rFonts w:ascii="Times New Roman" w:cs="Times New Roman" w:eastAsia="Times New Roman" w:hAnsi="Times New Roman"/>
          <w:sz w:val="17"/>
          <w:szCs w:val="17"/>
          <w:u w:val="single" w:color="auto"/>
          <w:color w:val="0000FF"/>
        </w:rPr>
      </w:pPr>
      <w:hyperlink r:id="rId58">
        <w:r>
          <w:rPr>
            <w:rFonts w:ascii="Times New Roman" w:cs="Times New Roman" w:eastAsia="Times New Roman" w:hAnsi="Times New Roman"/>
            <w:sz w:val="17"/>
            <w:szCs w:val="17"/>
            <w:u w:val="single" w:color="auto"/>
            <w:color w:val="0000FF"/>
          </w:rPr>
          <w:t>2.1</w:t>
        </w:r>
      </w:hyperlink>
      <w:r>
        <w:rPr>
          <w:rFonts w:ascii="Times New Roman" w:cs="Times New Roman" w:eastAsia="Times New Roman" w:hAnsi="Times New Roman"/>
          <w:sz w:val="17"/>
          <w:szCs w:val="17"/>
          <w:u w:val="single" w:color="auto"/>
          <w:color w:val="0000FF"/>
        </w:rPr>
        <w:tab/>
      </w:r>
      <w:hyperlink r:id="rId58">
        <w:r>
          <w:rPr>
            <w:rFonts w:ascii="Times New Roman" w:cs="Times New Roman" w:eastAsia="Times New Roman" w:hAnsi="Times New Roman"/>
            <w:sz w:val="17"/>
            <w:szCs w:val="17"/>
            <w:u w:val="single" w:color="auto"/>
            <w:color w:val="0000FF"/>
          </w:rPr>
          <w:t>Master Agreement, dated November 14, 2014, by and among Pacific Premier Retail LP, MACPT LLC, Macerich PPR GP LLC, Queens JV LP,</w:t>
        </w:r>
      </w:hyperlink>
      <w:r>
        <w:rPr>
          <w:rFonts w:ascii="Times New Roman" w:cs="Times New Roman" w:eastAsia="Times New Roman" w:hAnsi="Times New Roman"/>
          <w:sz w:val="17"/>
          <w:szCs w:val="17"/>
          <w:u w:val="single" w:color="auto"/>
          <w:color w:val="0000FF"/>
        </w:rPr>
        <w:t xml:space="preserve"> </w:t>
      </w:r>
      <w:hyperlink r:id="rId58">
        <w:r>
          <w:rPr>
            <w:rFonts w:ascii="Times New Roman" w:cs="Times New Roman" w:eastAsia="Times New Roman" w:hAnsi="Times New Roman"/>
            <w:sz w:val="17"/>
            <w:szCs w:val="17"/>
            <w:u w:val="single" w:color="auto"/>
            <w:color w:val="0000FF"/>
          </w:rPr>
          <w:t>Macerich Queens JV LP, Queens JV GP LLC, 1700480 Ontario Inc. and the Company (incorporated by reference as an exhibit to the</w:t>
        </w:r>
      </w:hyperlink>
      <w:r>
        <w:rPr>
          <w:rFonts w:ascii="Times New Roman" w:cs="Times New Roman" w:eastAsia="Times New Roman" w:hAnsi="Times New Roman"/>
          <w:sz w:val="17"/>
          <w:szCs w:val="17"/>
          <w:u w:val="single" w:color="auto"/>
          <w:color w:val="0000FF"/>
        </w:rPr>
        <w:t xml:space="preserve"> </w:t>
      </w:r>
      <w:hyperlink r:id="rId58">
        <w:r>
          <w:rPr>
            <w:rFonts w:ascii="Times New Roman" w:cs="Times New Roman" w:eastAsia="Times New Roman" w:hAnsi="Times New Roman"/>
            <w:sz w:val="17"/>
            <w:szCs w:val="17"/>
            <w:u w:val="single" w:color="auto"/>
            <w:color w:val="0000FF"/>
          </w:rPr>
          <w:t>Company’s Current Report on Form 8-K, event date November 14, 2014).</w:t>
        </w:r>
      </w:hyperlink>
    </w:p>
    <w:p>
      <w:pPr>
        <w:spacing w:after="0" w:line="10" w:lineRule="exact"/>
        <w:rPr>
          <w:rFonts w:ascii="Times New Roman" w:cs="Times New Roman" w:eastAsia="Times New Roman" w:hAnsi="Times New Roman"/>
          <w:sz w:val="17"/>
          <w:szCs w:val="17"/>
          <w:u w:val="single" w:color="auto"/>
          <w:color w:val="0000FF"/>
        </w:rPr>
      </w:pPr>
    </w:p>
    <w:p>
      <w:pPr>
        <w:ind w:left="1120" w:right="100" w:hanging="357"/>
        <w:spacing w:after="0" w:line="248" w:lineRule="auto"/>
        <w:tabs>
          <w:tab w:leader="none" w:pos="1100" w:val="left"/>
        </w:tabs>
        <w:rPr>
          <w:sz w:val="20"/>
          <w:szCs w:val="20"/>
          <w:color w:val="auto"/>
        </w:rPr>
      </w:pPr>
      <w:r>
        <w:rPr>
          <w:rFonts w:ascii="Times New Roman" w:cs="Times New Roman" w:eastAsia="Times New Roman" w:hAnsi="Times New Roman"/>
          <w:sz w:val="17"/>
          <w:szCs w:val="17"/>
          <w:color w:val="auto"/>
        </w:rPr>
        <w:t>3.1</w:t>
        <w:tab/>
        <w:t>Articles of Amendment and Restatement of the Company (incorporated by reference as an exhibit to the Company's Registration Statement on Form S-11, as amended (No. 33-68964)) (Filed in paper - hyperlink is not required pursuant to Rule 105 of Regulation S-T).</w:t>
      </w:r>
    </w:p>
    <w:p>
      <w:pPr>
        <w:spacing w:after="0" w:line="3" w:lineRule="exact"/>
        <w:rPr>
          <w:rFonts w:ascii="Times New Roman" w:cs="Times New Roman" w:eastAsia="Times New Roman" w:hAnsi="Times New Roman"/>
          <w:sz w:val="17"/>
          <w:szCs w:val="17"/>
          <w:u w:val="single" w:color="auto"/>
          <w:color w:val="0000FF"/>
        </w:rPr>
      </w:pPr>
    </w:p>
    <w:p>
      <w:pPr>
        <w:ind w:left="1120" w:right="300" w:hanging="488"/>
        <w:spacing w:after="0" w:line="248" w:lineRule="auto"/>
        <w:tabs>
          <w:tab w:leader="none" w:pos="1100" w:val="left"/>
        </w:tabs>
        <w:rPr>
          <w:sz w:val="20"/>
          <w:szCs w:val="20"/>
          <w:color w:val="auto"/>
        </w:rPr>
      </w:pPr>
      <w:r>
        <w:rPr>
          <w:rFonts w:ascii="Times New Roman" w:cs="Times New Roman" w:eastAsia="Times New Roman" w:hAnsi="Times New Roman"/>
          <w:sz w:val="17"/>
          <w:szCs w:val="17"/>
          <w:color w:val="auto"/>
        </w:rPr>
        <w:t>3.1.1</w:t>
        <w:tab/>
        <w:t>Articles Supplementary of the Company (incorporated by reference as an exhibit to the Company's Current Report on Form 8-K, event date May 30, 1995) (Filed in paper - hyperlink is not required pursuant to Rule 105 of Regulation S-T).</w:t>
      </w:r>
    </w:p>
    <w:p>
      <w:pPr>
        <w:spacing w:after="0" w:line="3" w:lineRule="exact"/>
        <w:rPr>
          <w:rFonts w:ascii="Times New Roman" w:cs="Times New Roman" w:eastAsia="Times New Roman" w:hAnsi="Times New Roman"/>
          <w:sz w:val="17"/>
          <w:szCs w:val="17"/>
          <w:u w:val="single" w:color="auto"/>
          <w:color w:val="0000FF"/>
        </w:rPr>
      </w:pPr>
    </w:p>
    <w:p>
      <w:pPr>
        <w:ind w:left="1120" w:right="260" w:hanging="488"/>
        <w:spacing w:after="0" w:line="248" w:lineRule="auto"/>
        <w:tabs>
          <w:tab w:leader="none" w:pos="1100" w:val="left"/>
        </w:tabs>
        <w:rPr>
          <w:rFonts w:ascii="Times New Roman" w:cs="Times New Roman" w:eastAsia="Times New Roman" w:hAnsi="Times New Roman"/>
          <w:sz w:val="17"/>
          <w:szCs w:val="17"/>
          <w:u w:val="single" w:color="auto"/>
          <w:color w:val="0000FF"/>
        </w:rPr>
      </w:pPr>
      <w:hyperlink r:id="rId59">
        <w:r>
          <w:rPr>
            <w:rFonts w:ascii="Times New Roman" w:cs="Times New Roman" w:eastAsia="Times New Roman" w:hAnsi="Times New Roman"/>
            <w:sz w:val="17"/>
            <w:szCs w:val="17"/>
            <w:u w:val="single" w:color="auto"/>
            <w:color w:val="0000FF"/>
          </w:rPr>
          <w:t>3.1.2</w:t>
        </w:r>
      </w:hyperlink>
      <w:r>
        <w:rPr>
          <w:rFonts w:ascii="Times New Roman" w:cs="Times New Roman" w:eastAsia="Times New Roman" w:hAnsi="Times New Roman"/>
          <w:sz w:val="17"/>
          <w:szCs w:val="17"/>
          <w:u w:val="single" w:color="auto"/>
          <w:color w:val="0000FF"/>
        </w:rPr>
        <w:tab/>
      </w:r>
      <w:hyperlink r:id="rId59">
        <w:r>
          <w:rPr>
            <w:rFonts w:ascii="Times New Roman" w:cs="Times New Roman" w:eastAsia="Times New Roman" w:hAnsi="Times New Roman"/>
            <w:sz w:val="17"/>
            <w:szCs w:val="17"/>
            <w:u w:val="single" w:color="auto"/>
            <w:color w:val="0000FF"/>
          </w:rPr>
          <w:t>Articles Supplementary of the Company (with respect to the first paragraph) (incorporated by reference as an exhibit to the Company's 1998</w:t>
        </w:r>
      </w:hyperlink>
      <w:r>
        <w:rPr>
          <w:rFonts w:ascii="Times New Roman" w:cs="Times New Roman" w:eastAsia="Times New Roman" w:hAnsi="Times New Roman"/>
          <w:sz w:val="17"/>
          <w:szCs w:val="17"/>
          <w:u w:val="single" w:color="auto"/>
          <w:color w:val="0000FF"/>
        </w:rPr>
        <w:t xml:space="preserve"> </w:t>
      </w:r>
      <w:hyperlink r:id="rId59">
        <w:r>
          <w:rPr>
            <w:rFonts w:ascii="Times New Roman" w:cs="Times New Roman" w:eastAsia="Times New Roman" w:hAnsi="Times New Roman"/>
            <w:sz w:val="17"/>
            <w:szCs w:val="17"/>
            <w:u w:val="single" w:color="auto"/>
            <w:color w:val="0000FF"/>
          </w:rPr>
          <w:t>Form 10-K).</w:t>
        </w:r>
      </w:hyperlink>
    </w:p>
    <w:p>
      <w:pPr>
        <w:spacing w:after="0" w:line="3" w:lineRule="exact"/>
        <w:rPr>
          <w:rFonts w:ascii="Times New Roman" w:cs="Times New Roman" w:eastAsia="Times New Roman" w:hAnsi="Times New Roman"/>
          <w:sz w:val="17"/>
          <w:szCs w:val="17"/>
          <w:u w:val="single" w:color="auto"/>
          <w:color w:val="0000FF"/>
        </w:rPr>
      </w:pPr>
    </w:p>
    <w:p>
      <w:pPr>
        <w:ind w:left="1120" w:right="180" w:hanging="488"/>
        <w:spacing w:after="0" w:line="248" w:lineRule="auto"/>
        <w:tabs>
          <w:tab w:leader="none" w:pos="1100" w:val="left"/>
        </w:tabs>
        <w:rPr>
          <w:rFonts w:ascii="Times New Roman" w:cs="Times New Roman" w:eastAsia="Times New Roman" w:hAnsi="Times New Roman"/>
          <w:sz w:val="17"/>
          <w:szCs w:val="17"/>
          <w:u w:val="single" w:color="auto"/>
          <w:color w:val="0000FF"/>
        </w:rPr>
      </w:pPr>
      <w:hyperlink r:id="rId60">
        <w:r>
          <w:rPr>
            <w:rFonts w:ascii="Times New Roman" w:cs="Times New Roman" w:eastAsia="Times New Roman" w:hAnsi="Times New Roman"/>
            <w:sz w:val="17"/>
            <w:szCs w:val="17"/>
            <w:u w:val="single" w:color="auto"/>
            <w:color w:val="0000FF"/>
          </w:rPr>
          <w:t>3.1.3</w:t>
        </w:r>
      </w:hyperlink>
      <w:r>
        <w:rPr>
          <w:rFonts w:ascii="Times New Roman" w:cs="Times New Roman" w:eastAsia="Times New Roman" w:hAnsi="Times New Roman"/>
          <w:sz w:val="17"/>
          <w:szCs w:val="17"/>
          <w:u w:val="single" w:color="auto"/>
          <w:color w:val="0000FF"/>
        </w:rPr>
        <w:tab/>
      </w:r>
      <w:hyperlink r:id="rId60">
        <w:r>
          <w:rPr>
            <w:rFonts w:ascii="Times New Roman" w:cs="Times New Roman" w:eastAsia="Times New Roman" w:hAnsi="Times New Roman"/>
            <w:sz w:val="17"/>
            <w:szCs w:val="17"/>
            <w:u w:val="single" w:color="auto"/>
            <w:color w:val="0000FF"/>
          </w:rPr>
          <w:t>Articles Supplementary of the Company (Series D Preferred Stock) (incorporated by reference as an exhibit to the Company's Current Report</w:t>
        </w:r>
      </w:hyperlink>
      <w:r>
        <w:rPr>
          <w:rFonts w:ascii="Times New Roman" w:cs="Times New Roman" w:eastAsia="Times New Roman" w:hAnsi="Times New Roman"/>
          <w:sz w:val="17"/>
          <w:szCs w:val="17"/>
          <w:u w:val="single" w:color="auto"/>
          <w:color w:val="0000FF"/>
        </w:rPr>
        <w:t xml:space="preserve"> </w:t>
      </w:r>
      <w:hyperlink r:id="rId60">
        <w:r>
          <w:rPr>
            <w:rFonts w:ascii="Times New Roman" w:cs="Times New Roman" w:eastAsia="Times New Roman" w:hAnsi="Times New Roman"/>
            <w:sz w:val="17"/>
            <w:szCs w:val="17"/>
            <w:u w:val="single" w:color="auto"/>
            <w:color w:val="0000FF"/>
          </w:rPr>
          <w:t>on Form 8-K, event date July 26, 2002).</w:t>
        </w:r>
      </w:hyperlink>
    </w:p>
    <w:p>
      <w:pPr>
        <w:spacing w:after="0" w:line="3" w:lineRule="exact"/>
        <w:rPr>
          <w:rFonts w:ascii="Times New Roman" w:cs="Times New Roman" w:eastAsia="Times New Roman" w:hAnsi="Times New Roman"/>
          <w:sz w:val="17"/>
          <w:szCs w:val="17"/>
          <w:u w:val="single" w:color="auto"/>
          <w:color w:val="0000FF"/>
        </w:rPr>
      </w:pPr>
    </w:p>
    <w:p>
      <w:pPr>
        <w:ind w:left="1120" w:right="360" w:hanging="488"/>
        <w:spacing w:after="0" w:line="248" w:lineRule="auto"/>
        <w:tabs>
          <w:tab w:leader="none" w:pos="1100" w:val="left"/>
        </w:tabs>
        <w:rPr>
          <w:rFonts w:ascii="Times New Roman" w:cs="Times New Roman" w:eastAsia="Times New Roman" w:hAnsi="Times New Roman"/>
          <w:sz w:val="17"/>
          <w:szCs w:val="17"/>
          <w:u w:val="single" w:color="auto"/>
          <w:color w:val="0000FF"/>
        </w:rPr>
      </w:pPr>
      <w:hyperlink r:id="rId61">
        <w:r>
          <w:rPr>
            <w:rFonts w:ascii="Times New Roman" w:cs="Times New Roman" w:eastAsia="Times New Roman" w:hAnsi="Times New Roman"/>
            <w:sz w:val="17"/>
            <w:szCs w:val="17"/>
            <w:u w:val="single" w:color="auto"/>
            <w:color w:val="0000FF"/>
          </w:rPr>
          <w:t>3.1.4</w:t>
        </w:r>
      </w:hyperlink>
      <w:r>
        <w:rPr>
          <w:rFonts w:ascii="Times New Roman" w:cs="Times New Roman" w:eastAsia="Times New Roman" w:hAnsi="Times New Roman"/>
          <w:sz w:val="17"/>
          <w:szCs w:val="17"/>
          <w:u w:val="single" w:color="auto"/>
          <w:color w:val="0000FF"/>
        </w:rPr>
        <w:tab/>
      </w:r>
      <w:hyperlink r:id="rId61">
        <w:r>
          <w:rPr>
            <w:rFonts w:ascii="Times New Roman" w:cs="Times New Roman" w:eastAsia="Times New Roman" w:hAnsi="Times New Roman"/>
            <w:sz w:val="17"/>
            <w:szCs w:val="17"/>
            <w:u w:val="single" w:color="auto"/>
            <w:color w:val="0000FF"/>
          </w:rPr>
          <w:t>Articles Supplementary of the Company (incorporated by reference as an exhibit to the Company's Registration Statement on Form S-3, as</w:t>
        </w:r>
      </w:hyperlink>
      <w:r>
        <w:rPr>
          <w:rFonts w:ascii="Times New Roman" w:cs="Times New Roman" w:eastAsia="Times New Roman" w:hAnsi="Times New Roman"/>
          <w:sz w:val="17"/>
          <w:szCs w:val="17"/>
          <w:u w:val="single" w:color="auto"/>
          <w:color w:val="0000FF"/>
        </w:rPr>
        <w:t xml:space="preserve"> </w:t>
      </w:r>
      <w:hyperlink r:id="rId61">
        <w:r>
          <w:rPr>
            <w:rFonts w:ascii="Times New Roman" w:cs="Times New Roman" w:eastAsia="Times New Roman" w:hAnsi="Times New Roman"/>
            <w:sz w:val="17"/>
            <w:szCs w:val="17"/>
            <w:u w:val="single" w:color="auto"/>
            <w:color w:val="0000FF"/>
          </w:rPr>
          <w:t>amended (No. 333-88718)).</w:t>
        </w:r>
      </w:hyperlink>
    </w:p>
    <w:p>
      <w:pPr>
        <w:spacing w:after="0" w:line="3" w:lineRule="exact"/>
        <w:rPr>
          <w:rFonts w:ascii="Times New Roman" w:cs="Times New Roman" w:eastAsia="Times New Roman" w:hAnsi="Times New Roman"/>
          <w:sz w:val="17"/>
          <w:szCs w:val="17"/>
          <w:u w:val="single" w:color="auto"/>
          <w:color w:val="0000FF"/>
        </w:rPr>
      </w:pPr>
    </w:p>
    <w:p>
      <w:pPr>
        <w:ind w:left="1120" w:right="160" w:hanging="488"/>
        <w:spacing w:after="0" w:line="244" w:lineRule="auto"/>
        <w:tabs>
          <w:tab w:leader="none" w:pos="1100" w:val="left"/>
        </w:tabs>
        <w:rPr>
          <w:rFonts w:ascii="Times New Roman" w:cs="Times New Roman" w:eastAsia="Times New Roman" w:hAnsi="Times New Roman"/>
          <w:sz w:val="17"/>
          <w:szCs w:val="17"/>
          <w:u w:val="single" w:color="auto"/>
          <w:color w:val="0000FF"/>
        </w:rPr>
      </w:pPr>
      <w:hyperlink r:id="rId62">
        <w:r>
          <w:rPr>
            <w:rFonts w:ascii="Times New Roman" w:cs="Times New Roman" w:eastAsia="Times New Roman" w:hAnsi="Times New Roman"/>
            <w:sz w:val="17"/>
            <w:szCs w:val="17"/>
            <w:u w:val="single" w:color="auto"/>
            <w:color w:val="0000FF"/>
          </w:rPr>
          <w:t>3.1.5</w:t>
        </w:r>
      </w:hyperlink>
      <w:r>
        <w:rPr>
          <w:rFonts w:ascii="Times New Roman" w:cs="Times New Roman" w:eastAsia="Times New Roman" w:hAnsi="Times New Roman"/>
          <w:sz w:val="17"/>
          <w:szCs w:val="17"/>
          <w:u w:val="single" w:color="auto"/>
          <w:color w:val="0000FF"/>
        </w:rPr>
        <w:tab/>
      </w:r>
      <w:hyperlink r:id="rId62">
        <w:r>
          <w:rPr>
            <w:rFonts w:ascii="Times New Roman" w:cs="Times New Roman" w:eastAsia="Times New Roman" w:hAnsi="Times New Roman"/>
            <w:sz w:val="17"/>
            <w:szCs w:val="17"/>
            <w:u w:val="single" w:color="auto"/>
            <w:color w:val="0000FF"/>
          </w:rPr>
          <w:t>Articles of Amendment of the Company (declassification of Board) (incorporated by reference as an exhibit to the Company's 2008 Form 10-</w:t>
        </w:r>
      </w:hyperlink>
      <w:hyperlink r:id="rId62">
        <w:r>
          <w:rPr>
            <w:rFonts w:ascii="Times New Roman" w:cs="Times New Roman" w:eastAsia="Times New Roman" w:hAnsi="Times New Roman"/>
            <w:sz w:val="17"/>
            <w:szCs w:val="17"/>
            <w:u w:val="single" w:color="auto"/>
            <w:color w:val="0000FF"/>
          </w:rPr>
          <w:t>K).</w:t>
        </w:r>
      </w:hyperlink>
    </w:p>
    <w:p>
      <w:pPr>
        <w:spacing w:after="0" w:line="179" w:lineRule="exact"/>
        <w:rPr>
          <w:rFonts w:ascii="Times New Roman" w:cs="Times New Roman" w:eastAsia="Times New Roman" w:hAnsi="Times New Roman"/>
          <w:sz w:val="17"/>
          <w:szCs w:val="17"/>
          <w:u w:val="single" w:color="auto"/>
          <w:color w:val="0000FF"/>
        </w:rPr>
      </w:pPr>
    </w:p>
    <w:p>
      <w:pPr>
        <w:ind w:left="1120" w:right="300" w:hanging="488"/>
        <w:spacing w:after="0" w:line="248" w:lineRule="auto"/>
        <w:tabs>
          <w:tab w:leader="none" w:pos="1100" w:val="left"/>
        </w:tabs>
        <w:rPr>
          <w:rFonts w:ascii="Times New Roman" w:cs="Times New Roman" w:eastAsia="Times New Roman" w:hAnsi="Times New Roman"/>
          <w:sz w:val="17"/>
          <w:szCs w:val="17"/>
          <w:u w:val="single" w:color="auto"/>
          <w:color w:val="0000FF"/>
        </w:rPr>
      </w:pPr>
      <w:hyperlink r:id="rId63">
        <w:r>
          <w:rPr>
            <w:rFonts w:ascii="Times New Roman" w:cs="Times New Roman" w:eastAsia="Times New Roman" w:hAnsi="Times New Roman"/>
            <w:sz w:val="17"/>
            <w:szCs w:val="17"/>
            <w:u w:val="single" w:color="auto"/>
            <w:color w:val="0000FF"/>
          </w:rPr>
          <w:t>3.1.6</w:t>
        </w:r>
      </w:hyperlink>
      <w:r>
        <w:rPr>
          <w:rFonts w:ascii="Times New Roman" w:cs="Times New Roman" w:eastAsia="Times New Roman" w:hAnsi="Times New Roman"/>
          <w:sz w:val="17"/>
          <w:szCs w:val="17"/>
          <w:u w:val="single" w:color="auto"/>
          <w:color w:val="0000FF"/>
        </w:rPr>
        <w:tab/>
      </w:r>
      <w:hyperlink r:id="rId63">
        <w:r>
          <w:rPr>
            <w:rFonts w:ascii="Times New Roman" w:cs="Times New Roman" w:eastAsia="Times New Roman" w:hAnsi="Times New Roman"/>
            <w:sz w:val="17"/>
            <w:szCs w:val="17"/>
            <w:u w:val="single" w:color="auto"/>
            <w:color w:val="0000FF"/>
          </w:rPr>
          <w:t>Articles Supplementary of the Company (incorporated by reference as an exhibit to the Company's Current Report on Form 8-K, event date</w:t>
        </w:r>
      </w:hyperlink>
      <w:r>
        <w:rPr>
          <w:rFonts w:ascii="Times New Roman" w:cs="Times New Roman" w:eastAsia="Times New Roman" w:hAnsi="Times New Roman"/>
          <w:sz w:val="17"/>
          <w:szCs w:val="17"/>
          <w:u w:val="single" w:color="auto"/>
          <w:color w:val="0000FF"/>
        </w:rPr>
        <w:t xml:space="preserve"> </w:t>
      </w:r>
      <w:hyperlink r:id="rId63">
        <w:r>
          <w:rPr>
            <w:rFonts w:ascii="Times New Roman" w:cs="Times New Roman" w:eastAsia="Times New Roman" w:hAnsi="Times New Roman"/>
            <w:sz w:val="17"/>
            <w:szCs w:val="17"/>
            <w:u w:val="single" w:color="auto"/>
            <w:color w:val="0000FF"/>
          </w:rPr>
          <w:t>February 5, 2009).</w:t>
        </w:r>
      </w:hyperlink>
    </w:p>
    <w:p>
      <w:pPr>
        <w:spacing w:after="0" w:line="3" w:lineRule="exact"/>
        <w:rPr>
          <w:rFonts w:ascii="Times New Roman" w:cs="Times New Roman" w:eastAsia="Times New Roman" w:hAnsi="Times New Roman"/>
          <w:sz w:val="17"/>
          <w:szCs w:val="17"/>
          <w:u w:val="single" w:color="auto"/>
          <w:color w:val="0000FF"/>
        </w:rPr>
      </w:pPr>
    </w:p>
    <w:p>
      <w:pPr>
        <w:ind w:left="1120" w:right="380" w:hanging="488"/>
        <w:spacing w:after="0" w:line="248" w:lineRule="auto"/>
        <w:tabs>
          <w:tab w:leader="none" w:pos="1100" w:val="left"/>
        </w:tabs>
        <w:rPr>
          <w:rFonts w:ascii="Times New Roman" w:cs="Times New Roman" w:eastAsia="Times New Roman" w:hAnsi="Times New Roman"/>
          <w:sz w:val="17"/>
          <w:szCs w:val="17"/>
          <w:u w:val="single" w:color="auto"/>
          <w:color w:val="0000FF"/>
        </w:rPr>
      </w:pPr>
      <w:hyperlink r:id="rId64">
        <w:r>
          <w:rPr>
            <w:rFonts w:ascii="Times New Roman" w:cs="Times New Roman" w:eastAsia="Times New Roman" w:hAnsi="Times New Roman"/>
            <w:sz w:val="17"/>
            <w:szCs w:val="17"/>
            <w:u w:val="single" w:color="auto"/>
            <w:color w:val="0000FF"/>
          </w:rPr>
          <w:t>3.1.7</w:t>
        </w:r>
      </w:hyperlink>
      <w:r>
        <w:rPr>
          <w:rFonts w:ascii="Times New Roman" w:cs="Times New Roman" w:eastAsia="Times New Roman" w:hAnsi="Times New Roman"/>
          <w:sz w:val="17"/>
          <w:szCs w:val="17"/>
          <w:u w:val="single" w:color="auto"/>
          <w:color w:val="0000FF"/>
        </w:rPr>
        <w:tab/>
      </w:r>
      <w:hyperlink r:id="rId64">
        <w:r>
          <w:rPr>
            <w:rFonts w:ascii="Times New Roman" w:cs="Times New Roman" w:eastAsia="Times New Roman" w:hAnsi="Times New Roman"/>
            <w:sz w:val="17"/>
            <w:szCs w:val="17"/>
            <w:u w:val="single" w:color="auto"/>
            <w:color w:val="0000FF"/>
          </w:rPr>
          <w:t>Articles of Amendment of the Company (increased authorized shares) (incorporated by reference as an exhibit to the Company's Quarterly</w:t>
        </w:r>
      </w:hyperlink>
      <w:r>
        <w:rPr>
          <w:rFonts w:ascii="Times New Roman" w:cs="Times New Roman" w:eastAsia="Times New Roman" w:hAnsi="Times New Roman"/>
          <w:sz w:val="17"/>
          <w:szCs w:val="17"/>
          <w:u w:val="single" w:color="auto"/>
          <w:color w:val="0000FF"/>
        </w:rPr>
        <w:t xml:space="preserve"> </w:t>
      </w:r>
      <w:hyperlink r:id="rId64">
        <w:r>
          <w:rPr>
            <w:rFonts w:ascii="Times New Roman" w:cs="Times New Roman" w:eastAsia="Times New Roman" w:hAnsi="Times New Roman"/>
            <w:sz w:val="17"/>
            <w:szCs w:val="17"/>
            <w:u w:val="single" w:color="auto"/>
            <w:color w:val="0000FF"/>
          </w:rPr>
          <w:t>Report on Form 10-Q for the quarter ended June 30, 2009).</w:t>
        </w:r>
      </w:hyperlink>
    </w:p>
    <w:p>
      <w:pPr>
        <w:spacing w:after="0" w:line="3" w:lineRule="exact"/>
        <w:rPr>
          <w:rFonts w:ascii="Times New Roman" w:cs="Times New Roman" w:eastAsia="Times New Roman" w:hAnsi="Times New Roman"/>
          <w:sz w:val="17"/>
          <w:szCs w:val="17"/>
          <w:u w:val="single" w:color="auto"/>
          <w:color w:val="0000FF"/>
        </w:rPr>
      </w:pPr>
    </w:p>
    <w:p>
      <w:pPr>
        <w:jc w:val="center"/>
        <w:ind w:left="580" w:right="360"/>
        <w:spacing w:after="0" w:line="248" w:lineRule="auto"/>
        <w:rPr>
          <w:rFonts w:ascii="Times New Roman" w:cs="Times New Roman" w:eastAsia="Times New Roman" w:hAnsi="Times New Roman"/>
          <w:sz w:val="17"/>
          <w:szCs w:val="17"/>
          <w:u w:val="single" w:color="auto"/>
          <w:color w:val="0000FF"/>
        </w:rPr>
      </w:pPr>
      <w:hyperlink r:id="rId65">
        <w:r>
          <w:rPr>
            <w:rFonts w:ascii="Times New Roman" w:cs="Times New Roman" w:eastAsia="Times New Roman" w:hAnsi="Times New Roman"/>
            <w:sz w:val="17"/>
            <w:szCs w:val="17"/>
            <w:u w:val="single" w:color="auto"/>
            <w:color w:val="0000FF"/>
          </w:rPr>
          <w:t>3.1.8  Articles of Amendment of the Company (to eliminate the supermajority vote requirement to amend the charter and to clarify a reference in</w:t>
        </w:r>
      </w:hyperlink>
      <w:r>
        <w:rPr>
          <w:rFonts w:ascii="Times New Roman" w:cs="Times New Roman" w:eastAsia="Times New Roman" w:hAnsi="Times New Roman"/>
          <w:sz w:val="17"/>
          <w:szCs w:val="17"/>
          <w:u w:val="single" w:color="auto"/>
          <w:color w:val="0000FF"/>
        </w:rPr>
        <w:t xml:space="preserve"> </w:t>
      </w:r>
      <w:hyperlink r:id="rId65">
        <w:r>
          <w:rPr>
            <w:rFonts w:ascii="Times New Roman" w:cs="Times New Roman" w:eastAsia="Times New Roman" w:hAnsi="Times New Roman"/>
            <w:sz w:val="17"/>
            <w:szCs w:val="17"/>
            <w:u w:val="single" w:color="auto"/>
            <w:color w:val="0000FF"/>
          </w:rPr>
          <w:t>Article NINTH) (incorporated by reference as an exhibit to the Company’s Current Report on Form 8-K, event date May 30, 2014).</w:t>
        </w:r>
      </w:hyperlink>
    </w:p>
    <w:p>
      <w:pPr>
        <w:spacing w:after="0" w:line="3" w:lineRule="exact"/>
        <w:rPr>
          <w:sz w:val="20"/>
          <w:szCs w:val="20"/>
          <w:color w:val="auto"/>
        </w:rPr>
      </w:pPr>
    </w:p>
    <w:p>
      <w:pPr>
        <w:ind w:left="1120" w:right="200" w:hanging="488"/>
        <w:spacing w:after="0" w:line="248" w:lineRule="auto"/>
        <w:tabs>
          <w:tab w:leader="none" w:pos="1100" w:val="left"/>
        </w:tabs>
        <w:rPr>
          <w:rFonts w:ascii="Times New Roman" w:cs="Times New Roman" w:eastAsia="Times New Roman" w:hAnsi="Times New Roman"/>
          <w:sz w:val="17"/>
          <w:szCs w:val="17"/>
          <w:u w:val="single" w:color="auto"/>
          <w:color w:val="0000FF"/>
        </w:rPr>
      </w:pPr>
      <w:hyperlink r:id="rId66">
        <w:r>
          <w:rPr>
            <w:rFonts w:ascii="Times New Roman" w:cs="Times New Roman" w:eastAsia="Times New Roman" w:hAnsi="Times New Roman"/>
            <w:sz w:val="17"/>
            <w:szCs w:val="17"/>
            <w:u w:val="single" w:color="auto"/>
            <w:color w:val="0000FF"/>
          </w:rPr>
          <w:t>3.1.9</w:t>
        </w:r>
      </w:hyperlink>
      <w:r>
        <w:rPr>
          <w:rFonts w:ascii="Times New Roman" w:cs="Times New Roman" w:eastAsia="Times New Roman" w:hAnsi="Times New Roman"/>
          <w:sz w:val="17"/>
          <w:szCs w:val="17"/>
          <w:u w:val="single" w:color="auto"/>
          <w:color w:val="0000FF"/>
        </w:rPr>
        <w:tab/>
      </w:r>
      <w:hyperlink r:id="rId66">
        <w:r>
          <w:rPr>
            <w:rFonts w:ascii="Times New Roman" w:cs="Times New Roman" w:eastAsia="Times New Roman" w:hAnsi="Times New Roman"/>
            <w:sz w:val="17"/>
            <w:szCs w:val="17"/>
            <w:u w:val="single" w:color="auto"/>
            <w:color w:val="0000FF"/>
          </w:rPr>
          <w:t>Articles Supplementary of the Company (election to be subject to Section 3-803 of the Maryland General Corporation Law) (incorporated by</w:t>
        </w:r>
      </w:hyperlink>
      <w:r>
        <w:rPr>
          <w:rFonts w:ascii="Times New Roman" w:cs="Times New Roman" w:eastAsia="Times New Roman" w:hAnsi="Times New Roman"/>
          <w:sz w:val="17"/>
          <w:szCs w:val="17"/>
          <w:u w:val="single" w:color="auto"/>
          <w:color w:val="0000FF"/>
        </w:rPr>
        <w:t xml:space="preserve"> </w:t>
      </w:r>
      <w:hyperlink r:id="rId66">
        <w:r>
          <w:rPr>
            <w:rFonts w:ascii="Times New Roman" w:cs="Times New Roman" w:eastAsia="Times New Roman" w:hAnsi="Times New Roman"/>
            <w:sz w:val="17"/>
            <w:szCs w:val="17"/>
            <w:u w:val="single" w:color="auto"/>
            <w:color w:val="0000FF"/>
          </w:rPr>
          <w:t>reference as an exhibit to the Company’s Current Report on Form 8-K, event date March 17, 2015).</w:t>
        </w:r>
      </w:hyperlink>
    </w:p>
    <w:p>
      <w:pPr>
        <w:spacing w:after="0" w:line="3" w:lineRule="exact"/>
        <w:rPr>
          <w:rFonts w:ascii="Times New Roman" w:cs="Times New Roman" w:eastAsia="Times New Roman" w:hAnsi="Times New Roman"/>
          <w:sz w:val="17"/>
          <w:szCs w:val="17"/>
          <w:u w:val="single" w:color="auto"/>
          <w:color w:val="0000FF"/>
        </w:rPr>
      </w:pPr>
    </w:p>
    <w:p>
      <w:pPr>
        <w:ind w:left="1120" w:right="180" w:hanging="576"/>
        <w:spacing w:after="0" w:line="248" w:lineRule="auto"/>
        <w:tabs>
          <w:tab w:leader="none" w:pos="1100" w:val="left"/>
        </w:tabs>
        <w:rPr>
          <w:rFonts w:ascii="Times New Roman" w:cs="Times New Roman" w:eastAsia="Times New Roman" w:hAnsi="Times New Roman"/>
          <w:sz w:val="17"/>
          <w:szCs w:val="17"/>
          <w:u w:val="single" w:color="auto"/>
          <w:color w:val="0000FF"/>
        </w:rPr>
      </w:pPr>
      <w:hyperlink r:id="rId67">
        <w:r>
          <w:rPr>
            <w:rFonts w:ascii="Times New Roman" w:cs="Times New Roman" w:eastAsia="Times New Roman" w:hAnsi="Times New Roman"/>
            <w:sz w:val="17"/>
            <w:szCs w:val="17"/>
            <w:u w:val="single" w:color="auto"/>
            <w:color w:val="0000FF"/>
          </w:rPr>
          <w:t>3.1.10</w:t>
        </w:r>
      </w:hyperlink>
      <w:r>
        <w:rPr>
          <w:rFonts w:ascii="Times New Roman" w:cs="Times New Roman" w:eastAsia="Times New Roman" w:hAnsi="Times New Roman"/>
          <w:sz w:val="17"/>
          <w:szCs w:val="17"/>
          <w:u w:val="single" w:color="auto"/>
          <w:color w:val="0000FF"/>
        </w:rPr>
        <w:tab/>
      </w:r>
      <w:hyperlink r:id="rId67">
        <w:r>
          <w:rPr>
            <w:rFonts w:ascii="Times New Roman" w:cs="Times New Roman" w:eastAsia="Times New Roman" w:hAnsi="Times New Roman"/>
            <w:sz w:val="17"/>
            <w:szCs w:val="17"/>
            <w:u w:val="single" w:color="auto"/>
            <w:color w:val="0000FF"/>
          </w:rPr>
          <w:t>Articles Supplementary of the Company (Series E Preferred Stock) (incorporated by reference as an exhibit to the Company’s Current Report</w:t>
        </w:r>
      </w:hyperlink>
      <w:r>
        <w:rPr>
          <w:rFonts w:ascii="Times New Roman" w:cs="Times New Roman" w:eastAsia="Times New Roman" w:hAnsi="Times New Roman"/>
          <w:sz w:val="17"/>
          <w:szCs w:val="17"/>
          <w:u w:val="single" w:color="auto"/>
          <w:color w:val="0000FF"/>
        </w:rPr>
        <w:t xml:space="preserve"> </w:t>
      </w:r>
      <w:hyperlink r:id="rId67">
        <w:r>
          <w:rPr>
            <w:rFonts w:ascii="Times New Roman" w:cs="Times New Roman" w:eastAsia="Times New Roman" w:hAnsi="Times New Roman"/>
            <w:sz w:val="17"/>
            <w:szCs w:val="17"/>
            <w:u w:val="single" w:color="auto"/>
            <w:color w:val="0000FF"/>
          </w:rPr>
          <w:t>on Form 8-K, event date March 18, 2015).</w:t>
        </w:r>
      </w:hyperlink>
    </w:p>
    <w:p>
      <w:pPr>
        <w:spacing w:after="0" w:line="3" w:lineRule="exact"/>
        <w:rPr>
          <w:rFonts w:ascii="Times New Roman" w:cs="Times New Roman" w:eastAsia="Times New Roman" w:hAnsi="Times New Roman"/>
          <w:sz w:val="17"/>
          <w:szCs w:val="17"/>
          <w:u w:val="single" w:color="auto"/>
          <w:color w:val="0000FF"/>
        </w:rPr>
      </w:pPr>
    </w:p>
    <w:p>
      <w:pPr>
        <w:ind w:left="1120" w:right="460" w:hanging="569"/>
        <w:spacing w:after="0" w:line="248" w:lineRule="auto"/>
        <w:tabs>
          <w:tab w:leader="none" w:pos="1100" w:val="left"/>
        </w:tabs>
        <w:rPr>
          <w:rFonts w:ascii="Times New Roman" w:cs="Times New Roman" w:eastAsia="Times New Roman" w:hAnsi="Times New Roman"/>
          <w:sz w:val="17"/>
          <w:szCs w:val="17"/>
          <w:u w:val="single" w:color="auto"/>
          <w:color w:val="0000FF"/>
        </w:rPr>
      </w:pPr>
      <w:hyperlink r:id="rId68">
        <w:r>
          <w:rPr>
            <w:rFonts w:ascii="Times New Roman" w:cs="Times New Roman" w:eastAsia="Times New Roman" w:hAnsi="Times New Roman"/>
            <w:sz w:val="17"/>
            <w:szCs w:val="17"/>
            <w:u w:val="single" w:color="auto"/>
            <w:color w:val="0000FF"/>
          </w:rPr>
          <w:t>3.1.11</w:t>
        </w:r>
      </w:hyperlink>
      <w:r>
        <w:rPr>
          <w:rFonts w:ascii="Times New Roman" w:cs="Times New Roman" w:eastAsia="Times New Roman" w:hAnsi="Times New Roman"/>
          <w:sz w:val="17"/>
          <w:szCs w:val="17"/>
          <w:u w:val="single" w:color="auto"/>
          <w:color w:val="0000FF"/>
        </w:rPr>
        <w:tab/>
      </w:r>
      <w:hyperlink r:id="rId68">
        <w:r>
          <w:rPr>
            <w:rFonts w:ascii="Times New Roman" w:cs="Times New Roman" w:eastAsia="Times New Roman" w:hAnsi="Times New Roman"/>
            <w:sz w:val="17"/>
            <w:szCs w:val="17"/>
            <w:u w:val="single" w:color="auto"/>
            <w:color w:val="0000FF"/>
          </w:rPr>
          <w:t>Articles Supplementary of the Company (reclassification of Series E Preferred Stock to Preferred Stock) (incorporated by reference as an</w:t>
        </w:r>
      </w:hyperlink>
      <w:r>
        <w:rPr>
          <w:rFonts w:ascii="Times New Roman" w:cs="Times New Roman" w:eastAsia="Times New Roman" w:hAnsi="Times New Roman"/>
          <w:sz w:val="17"/>
          <w:szCs w:val="17"/>
          <w:u w:val="single" w:color="auto"/>
          <w:color w:val="0000FF"/>
        </w:rPr>
        <w:t xml:space="preserve"> </w:t>
      </w:r>
      <w:hyperlink r:id="rId68">
        <w:r>
          <w:rPr>
            <w:rFonts w:ascii="Times New Roman" w:cs="Times New Roman" w:eastAsia="Times New Roman" w:hAnsi="Times New Roman"/>
            <w:sz w:val="17"/>
            <w:szCs w:val="17"/>
            <w:u w:val="single" w:color="auto"/>
            <w:color w:val="0000FF"/>
          </w:rPr>
          <w:t>exhibit to the Company’s Current Report on Form 8-K, event date May 7, 2015).</w:t>
        </w:r>
      </w:hyperlink>
    </w:p>
    <w:p>
      <w:pPr>
        <w:spacing w:after="0" w:line="3" w:lineRule="exact"/>
        <w:rPr>
          <w:rFonts w:ascii="Times New Roman" w:cs="Times New Roman" w:eastAsia="Times New Roman" w:hAnsi="Times New Roman"/>
          <w:sz w:val="17"/>
          <w:szCs w:val="17"/>
          <w:u w:val="single" w:color="auto"/>
          <w:color w:val="0000FF"/>
        </w:rPr>
      </w:pPr>
    </w:p>
    <w:p>
      <w:pPr>
        <w:ind w:left="1120" w:right="740" w:hanging="576"/>
        <w:spacing w:after="0" w:line="248" w:lineRule="auto"/>
        <w:tabs>
          <w:tab w:leader="none" w:pos="1100" w:val="left"/>
        </w:tabs>
        <w:rPr>
          <w:rFonts w:ascii="Times New Roman" w:cs="Times New Roman" w:eastAsia="Times New Roman" w:hAnsi="Times New Roman"/>
          <w:sz w:val="17"/>
          <w:szCs w:val="17"/>
          <w:u w:val="single" w:color="auto"/>
          <w:color w:val="0000FF"/>
        </w:rPr>
      </w:pPr>
      <w:hyperlink r:id="rId69">
        <w:r>
          <w:rPr>
            <w:rFonts w:ascii="Times New Roman" w:cs="Times New Roman" w:eastAsia="Times New Roman" w:hAnsi="Times New Roman"/>
            <w:sz w:val="17"/>
            <w:szCs w:val="17"/>
            <w:u w:val="single" w:color="auto"/>
            <w:color w:val="0000FF"/>
          </w:rPr>
          <w:t>3.1.12</w:t>
        </w:r>
      </w:hyperlink>
      <w:r>
        <w:rPr>
          <w:rFonts w:ascii="Times New Roman" w:cs="Times New Roman" w:eastAsia="Times New Roman" w:hAnsi="Times New Roman"/>
          <w:sz w:val="17"/>
          <w:szCs w:val="17"/>
          <w:u w:val="single" w:color="auto"/>
          <w:color w:val="0000FF"/>
        </w:rPr>
        <w:tab/>
      </w:r>
      <w:hyperlink r:id="rId69">
        <w:r>
          <w:rPr>
            <w:rFonts w:ascii="Times New Roman" w:cs="Times New Roman" w:eastAsia="Times New Roman" w:hAnsi="Times New Roman"/>
            <w:sz w:val="17"/>
            <w:szCs w:val="17"/>
            <w:u w:val="single" w:color="auto"/>
            <w:color w:val="0000FF"/>
          </w:rPr>
          <w:t>Articles Supplementary of the Company (repeal of election to be subject to Section 3-803 of the Maryland General Corporation Law)</w:t>
        </w:r>
      </w:hyperlink>
      <w:r>
        <w:rPr>
          <w:rFonts w:ascii="Times New Roman" w:cs="Times New Roman" w:eastAsia="Times New Roman" w:hAnsi="Times New Roman"/>
          <w:sz w:val="17"/>
          <w:szCs w:val="17"/>
          <w:u w:val="single" w:color="auto"/>
          <w:color w:val="0000FF"/>
        </w:rPr>
        <w:t xml:space="preserve"> </w:t>
      </w:r>
      <w:hyperlink r:id="rId69">
        <w:r>
          <w:rPr>
            <w:rFonts w:ascii="Times New Roman" w:cs="Times New Roman" w:eastAsia="Times New Roman" w:hAnsi="Times New Roman"/>
            <w:sz w:val="17"/>
            <w:szCs w:val="17"/>
            <w:u w:val="single" w:color="auto"/>
            <w:color w:val="0000FF"/>
          </w:rPr>
          <w:t>(incorporated by reference as an exhibit to the Company’s Current Report on Form 8-K, event date May 28, 2015).</w:t>
        </w:r>
      </w:hyperlink>
    </w:p>
    <w:p>
      <w:pPr>
        <w:spacing w:after="0" w:line="3" w:lineRule="exact"/>
        <w:rPr>
          <w:rFonts w:ascii="Times New Roman" w:cs="Times New Roman" w:eastAsia="Times New Roman" w:hAnsi="Times New Roman"/>
          <w:sz w:val="17"/>
          <w:szCs w:val="17"/>
          <w:u w:val="single" w:color="auto"/>
          <w:color w:val="0000FF"/>
        </w:rPr>
      </w:pPr>
    </w:p>
    <w:p>
      <w:pPr>
        <w:ind w:left="1120" w:right="400" w:hanging="576"/>
        <w:spacing w:after="0" w:line="248" w:lineRule="auto"/>
        <w:tabs>
          <w:tab w:leader="none" w:pos="1100" w:val="left"/>
        </w:tabs>
        <w:rPr>
          <w:rFonts w:ascii="Times New Roman" w:cs="Times New Roman" w:eastAsia="Times New Roman" w:hAnsi="Times New Roman"/>
          <w:sz w:val="17"/>
          <w:szCs w:val="17"/>
          <w:u w:val="single" w:color="auto"/>
          <w:color w:val="0000FF"/>
        </w:rPr>
      </w:pPr>
      <w:hyperlink r:id="rId70">
        <w:r>
          <w:rPr>
            <w:rFonts w:ascii="Times New Roman" w:cs="Times New Roman" w:eastAsia="Times New Roman" w:hAnsi="Times New Roman"/>
            <w:sz w:val="17"/>
            <w:szCs w:val="17"/>
            <w:u w:val="single" w:color="auto"/>
            <w:color w:val="0000FF"/>
          </w:rPr>
          <w:t>3.1.13</w:t>
        </w:r>
      </w:hyperlink>
      <w:r>
        <w:rPr>
          <w:rFonts w:ascii="Times New Roman" w:cs="Times New Roman" w:eastAsia="Times New Roman" w:hAnsi="Times New Roman"/>
          <w:sz w:val="17"/>
          <w:szCs w:val="17"/>
          <w:u w:val="single" w:color="auto"/>
          <w:color w:val="0000FF"/>
        </w:rPr>
        <w:tab/>
      </w:r>
      <w:hyperlink r:id="rId70">
        <w:r>
          <w:rPr>
            <w:rFonts w:ascii="Times New Roman" w:cs="Times New Roman" w:eastAsia="Times New Roman" w:hAnsi="Times New Roman"/>
            <w:sz w:val="17"/>
            <w:szCs w:val="17"/>
            <w:u w:val="single" w:color="auto"/>
            <w:color w:val="0000FF"/>
          </w:rPr>
          <w:t>Articles Supplementary of the Company (opting out of provisions of Subtitle 8 of Title 3 of the Maryland General Corporate Law (MUTA</w:t>
        </w:r>
      </w:hyperlink>
      <w:r>
        <w:rPr>
          <w:rFonts w:ascii="Times New Roman" w:cs="Times New Roman" w:eastAsia="Times New Roman" w:hAnsi="Times New Roman"/>
          <w:sz w:val="17"/>
          <w:szCs w:val="17"/>
          <w:u w:val="single" w:color="auto"/>
          <w:color w:val="0000FF"/>
        </w:rPr>
        <w:t xml:space="preserve"> </w:t>
      </w:r>
      <w:hyperlink r:id="rId70">
        <w:r>
          <w:rPr>
            <w:rFonts w:ascii="Times New Roman" w:cs="Times New Roman" w:eastAsia="Times New Roman" w:hAnsi="Times New Roman"/>
            <w:sz w:val="17"/>
            <w:szCs w:val="17"/>
            <w:u w:val="single" w:color="auto"/>
            <w:color w:val="0000FF"/>
          </w:rPr>
          <w:t>provisions)) (incorporated by reference as an exhibit to the Company’s Current Report on Form 8-K, event date April 24, 2019).</w:t>
        </w:r>
      </w:hyperlink>
    </w:p>
    <w:p>
      <w:pPr>
        <w:spacing w:after="0" w:line="3" w:lineRule="exact"/>
        <w:rPr>
          <w:rFonts w:ascii="Times New Roman" w:cs="Times New Roman" w:eastAsia="Times New Roman" w:hAnsi="Times New Roman"/>
          <w:sz w:val="17"/>
          <w:szCs w:val="17"/>
          <w:u w:val="single" w:color="auto"/>
          <w:color w:val="0000FF"/>
        </w:rPr>
      </w:pPr>
    </w:p>
    <w:p>
      <w:pPr>
        <w:ind w:left="1120" w:right="500" w:hanging="576"/>
        <w:spacing w:after="0" w:line="248" w:lineRule="auto"/>
        <w:tabs>
          <w:tab w:leader="none" w:pos="1100" w:val="left"/>
        </w:tabs>
        <w:rPr>
          <w:rFonts w:ascii="Times New Roman" w:cs="Times New Roman" w:eastAsia="Times New Roman" w:hAnsi="Times New Roman"/>
          <w:sz w:val="17"/>
          <w:szCs w:val="17"/>
          <w:u w:val="single" w:color="auto"/>
          <w:color w:val="0000FF"/>
        </w:rPr>
      </w:pPr>
      <w:hyperlink r:id="rId71">
        <w:r>
          <w:rPr>
            <w:rFonts w:ascii="Times New Roman" w:cs="Times New Roman" w:eastAsia="Times New Roman" w:hAnsi="Times New Roman"/>
            <w:sz w:val="17"/>
            <w:szCs w:val="17"/>
            <w:u w:val="single" w:color="auto"/>
            <w:color w:val="0000FF"/>
          </w:rPr>
          <w:t>3.1.14</w:t>
        </w:r>
      </w:hyperlink>
      <w:r>
        <w:rPr>
          <w:rFonts w:ascii="Times New Roman" w:cs="Times New Roman" w:eastAsia="Times New Roman" w:hAnsi="Times New Roman"/>
          <w:sz w:val="17"/>
          <w:szCs w:val="17"/>
          <w:u w:val="single" w:color="auto"/>
          <w:color w:val="0000FF"/>
        </w:rPr>
        <w:tab/>
      </w:r>
      <w:hyperlink r:id="rId71">
        <w:r>
          <w:rPr>
            <w:rFonts w:ascii="Times New Roman" w:cs="Times New Roman" w:eastAsia="Times New Roman" w:hAnsi="Times New Roman"/>
            <w:sz w:val="17"/>
            <w:szCs w:val="17"/>
            <w:u w:val="single" w:color="auto"/>
            <w:color w:val="0000FF"/>
          </w:rPr>
          <w:t>Articles of Amendment of the Company (increased authorized shares) (incorporated by reference as an exhibit to the Company's Current</w:t>
        </w:r>
      </w:hyperlink>
      <w:r>
        <w:rPr>
          <w:rFonts w:ascii="Times New Roman" w:cs="Times New Roman" w:eastAsia="Times New Roman" w:hAnsi="Times New Roman"/>
          <w:sz w:val="17"/>
          <w:szCs w:val="17"/>
          <w:u w:val="single" w:color="auto"/>
          <w:color w:val="0000FF"/>
        </w:rPr>
        <w:t xml:space="preserve"> </w:t>
      </w:r>
      <w:hyperlink r:id="rId71">
        <w:r>
          <w:rPr>
            <w:rFonts w:ascii="Times New Roman" w:cs="Times New Roman" w:eastAsia="Times New Roman" w:hAnsi="Times New Roman"/>
            <w:sz w:val="17"/>
            <w:szCs w:val="17"/>
            <w:u w:val="single" w:color="auto"/>
            <w:color w:val="0000FF"/>
          </w:rPr>
          <w:t>Report on Form 8-K, event date May 28, 2021).</w:t>
        </w:r>
      </w:hyperlink>
    </w:p>
    <w:p>
      <w:pPr>
        <w:spacing w:after="0" w:line="3" w:lineRule="exact"/>
        <w:rPr>
          <w:rFonts w:ascii="Times New Roman" w:cs="Times New Roman" w:eastAsia="Times New Roman" w:hAnsi="Times New Roman"/>
          <w:sz w:val="17"/>
          <w:szCs w:val="17"/>
          <w:u w:val="single" w:color="auto"/>
          <w:color w:val="0000FF"/>
        </w:rPr>
      </w:pPr>
    </w:p>
    <w:p>
      <w:pPr>
        <w:ind w:left="1120" w:right="100" w:hanging="357"/>
        <w:spacing w:after="0" w:line="248" w:lineRule="auto"/>
        <w:tabs>
          <w:tab w:leader="none" w:pos="1100" w:val="left"/>
        </w:tabs>
        <w:rPr>
          <w:rFonts w:ascii="Times New Roman" w:cs="Times New Roman" w:eastAsia="Times New Roman" w:hAnsi="Times New Roman"/>
          <w:sz w:val="17"/>
          <w:szCs w:val="17"/>
          <w:u w:val="single" w:color="auto"/>
          <w:color w:val="0000FF"/>
        </w:rPr>
      </w:pPr>
      <w:hyperlink r:id="rId72">
        <w:r>
          <w:rPr>
            <w:rFonts w:ascii="Times New Roman" w:cs="Times New Roman" w:eastAsia="Times New Roman" w:hAnsi="Times New Roman"/>
            <w:sz w:val="17"/>
            <w:szCs w:val="17"/>
            <w:u w:val="single" w:color="auto"/>
            <w:color w:val="0000FF"/>
          </w:rPr>
          <w:t>3.2</w:t>
        </w:r>
      </w:hyperlink>
      <w:r>
        <w:rPr>
          <w:rFonts w:ascii="Times New Roman" w:cs="Times New Roman" w:eastAsia="Times New Roman" w:hAnsi="Times New Roman"/>
          <w:sz w:val="17"/>
          <w:szCs w:val="17"/>
          <w:u w:val="single" w:color="auto"/>
          <w:color w:val="0000FF"/>
        </w:rPr>
        <w:tab/>
      </w:r>
      <w:hyperlink r:id="rId72">
        <w:r>
          <w:rPr>
            <w:rFonts w:ascii="Times New Roman" w:cs="Times New Roman" w:eastAsia="Times New Roman" w:hAnsi="Times New Roman"/>
            <w:sz w:val="17"/>
            <w:szCs w:val="17"/>
            <w:u w:val="single" w:color="auto"/>
            <w:color w:val="0000FF"/>
          </w:rPr>
          <w:t>Amended and Restated Bylaws of the Company (incorporated by reference as an exhibit to the Company's Current Report on Form 8-K, event</w:t>
        </w:r>
      </w:hyperlink>
      <w:r>
        <w:rPr>
          <w:rFonts w:ascii="Times New Roman" w:cs="Times New Roman" w:eastAsia="Times New Roman" w:hAnsi="Times New Roman"/>
          <w:sz w:val="17"/>
          <w:szCs w:val="17"/>
          <w:u w:val="single" w:color="auto"/>
          <w:color w:val="0000FF"/>
        </w:rPr>
        <w:t xml:space="preserve"> </w:t>
      </w:r>
      <w:hyperlink r:id="rId72">
        <w:r>
          <w:rPr>
            <w:rFonts w:ascii="Times New Roman" w:cs="Times New Roman" w:eastAsia="Times New Roman" w:hAnsi="Times New Roman"/>
            <w:sz w:val="17"/>
            <w:szCs w:val="17"/>
            <w:u w:val="single" w:color="auto"/>
            <w:color w:val="0000FF"/>
          </w:rPr>
          <w:t>date January 26, 2023).</w:t>
        </w:r>
      </w:hyperlink>
    </w:p>
    <w:p>
      <w:pPr>
        <w:spacing w:after="0" w:line="3" w:lineRule="exact"/>
        <w:rPr>
          <w:rFonts w:ascii="Times New Roman" w:cs="Times New Roman" w:eastAsia="Times New Roman" w:hAnsi="Times New Roman"/>
          <w:sz w:val="17"/>
          <w:szCs w:val="17"/>
          <w:u w:val="single" w:color="auto"/>
          <w:color w:val="0000FF"/>
        </w:rPr>
      </w:pPr>
    </w:p>
    <w:p>
      <w:pPr>
        <w:ind w:left="1120" w:hanging="445"/>
        <w:spacing w:after="0" w:line="222" w:lineRule="auto"/>
        <w:tabs>
          <w:tab w:leader="none" w:pos="1100" w:val="left"/>
        </w:tabs>
        <w:rPr>
          <w:rFonts w:ascii="Times New Roman" w:cs="Times New Roman" w:eastAsia="Times New Roman" w:hAnsi="Times New Roman"/>
          <w:sz w:val="17"/>
          <w:szCs w:val="17"/>
          <w:u w:val="single" w:color="auto"/>
          <w:color w:val="0000FF"/>
        </w:rPr>
      </w:pPr>
      <w:hyperlink r:id="rId73">
        <w:r>
          <w:rPr>
            <w:rFonts w:ascii="Times New Roman" w:cs="Times New Roman" w:eastAsia="Times New Roman" w:hAnsi="Times New Roman"/>
            <w:sz w:val="17"/>
            <w:szCs w:val="17"/>
            <w:u w:val="single" w:color="auto"/>
            <w:color w:val="0000FF"/>
          </w:rPr>
          <w:t>10.1</w:t>
        </w:r>
      </w:hyperlink>
      <w:r>
        <w:rPr>
          <w:rFonts w:ascii="Times New Roman" w:cs="Times New Roman" w:eastAsia="Times New Roman" w:hAnsi="Times New Roman"/>
          <w:sz w:val="17"/>
          <w:szCs w:val="17"/>
          <w:u w:val="single" w:color="auto"/>
          <w:color w:val="0000FF"/>
        </w:rPr>
        <w:tab/>
      </w:r>
      <w:hyperlink r:id="rId73">
        <w:r>
          <w:rPr>
            <w:rFonts w:ascii="Times New Roman" w:cs="Times New Roman" w:eastAsia="Times New Roman" w:hAnsi="Times New Roman"/>
            <w:sz w:val="17"/>
            <w:szCs w:val="17"/>
            <w:u w:val="single" w:color="auto"/>
            <w:color w:val="0000FF"/>
          </w:rPr>
          <w:t>Second Amended and Restated Credit Agreement, dated as of February 24, 2026, by and among the Company, as a guarantor, the Partnership,</w:t>
        </w:r>
      </w:hyperlink>
      <w:r>
        <w:rPr>
          <w:rFonts w:ascii="Times New Roman" w:cs="Times New Roman" w:eastAsia="Times New Roman" w:hAnsi="Times New Roman"/>
          <w:sz w:val="17"/>
          <w:szCs w:val="17"/>
          <w:u w:val="single" w:color="auto"/>
          <w:color w:val="0000FF"/>
        </w:rPr>
        <w:t xml:space="preserve"> </w:t>
      </w:r>
      <w:hyperlink r:id="rId73">
        <w:r>
          <w:rPr>
            <w:rFonts w:ascii="Times New Roman" w:cs="Times New Roman" w:eastAsia="Times New Roman" w:hAnsi="Times New Roman"/>
            <w:sz w:val="17"/>
            <w:szCs w:val="17"/>
            <w:u w:val="single" w:color="auto"/>
            <w:color w:val="0000FF"/>
          </w:rPr>
          <w:t>as borrower, certain subsidiary guarantors, Deutsche Bank AG New York Branch, as administrative agent and collateral agent, Deutsche Bank</w:t>
        </w:r>
      </w:hyperlink>
      <w:r>
        <w:rPr>
          <w:rFonts w:ascii="Times New Roman" w:cs="Times New Roman" w:eastAsia="Times New Roman" w:hAnsi="Times New Roman"/>
          <w:sz w:val="17"/>
          <w:szCs w:val="17"/>
          <w:u w:val="single" w:color="auto"/>
          <w:color w:val="0000FF"/>
        </w:rPr>
        <w:t xml:space="preserve"> </w:t>
      </w:r>
      <w:hyperlink r:id="rId73">
        <w:r>
          <w:rPr>
            <w:rFonts w:ascii="Times New Roman" w:cs="Times New Roman" w:eastAsia="Times New Roman" w:hAnsi="Times New Roman"/>
            <w:sz w:val="17"/>
            <w:szCs w:val="17"/>
            <w:u w:val="single" w:color="auto"/>
            <w:color w:val="0000FF"/>
          </w:rPr>
          <w:t>Securities Inc., JPMorgan Chase Bank, N.A., Goldman Sachs Bank USA, BMO Capital Markets Corp., TD Securities (USA) LLC, and Morgan</w:t>
        </w:r>
      </w:hyperlink>
    </w:p>
    <w:p>
      <w:pPr>
        <w:spacing w:after="0" w:line="2" w:lineRule="exact"/>
        <w:rPr>
          <w:rFonts w:ascii="Times New Roman" w:cs="Times New Roman" w:eastAsia="Times New Roman" w:hAnsi="Times New Roman"/>
          <w:sz w:val="17"/>
          <w:szCs w:val="17"/>
          <w:u w:val="single" w:color="auto"/>
          <w:color w:val="0000FF"/>
        </w:rPr>
      </w:pPr>
    </w:p>
    <w:p>
      <w:pPr>
        <w:ind w:left="1120" w:right="200"/>
        <w:spacing w:after="0" w:line="214" w:lineRule="auto"/>
        <w:rPr>
          <w:rFonts w:ascii="Times New Roman" w:cs="Times New Roman" w:eastAsia="Times New Roman" w:hAnsi="Times New Roman"/>
          <w:sz w:val="17"/>
          <w:szCs w:val="17"/>
          <w:u w:val="single" w:color="auto"/>
          <w:color w:val="0000FF"/>
        </w:rPr>
      </w:pPr>
      <w:hyperlink r:id="rId73">
        <w:r>
          <w:rPr>
            <w:rFonts w:ascii="Times New Roman" w:cs="Times New Roman" w:eastAsia="Times New Roman" w:hAnsi="Times New Roman"/>
            <w:sz w:val="17"/>
            <w:szCs w:val="17"/>
            <w:u w:val="single" w:color="auto"/>
            <w:color w:val="0000FF"/>
          </w:rPr>
          <w:t>Stanley Senior Funding, Inc., as joint lead arrangers and joint bookrunning managers, Deutsche Bank Securities Inc. and JPMorgan Chase</w:t>
        </w:r>
      </w:hyperlink>
      <w:r>
        <w:rPr>
          <w:rFonts w:ascii="Times New Roman" w:cs="Times New Roman" w:eastAsia="Times New Roman" w:hAnsi="Times New Roman"/>
          <w:sz w:val="17"/>
          <w:szCs w:val="17"/>
          <w:u w:val="single" w:color="auto"/>
          <w:color w:val="0000FF"/>
        </w:rPr>
        <w:t xml:space="preserve"> </w:t>
      </w:r>
      <w:hyperlink r:id="rId73">
        <w:r>
          <w:rPr>
            <w:rFonts w:ascii="Times New Roman" w:cs="Times New Roman" w:eastAsia="Times New Roman" w:hAnsi="Times New Roman"/>
            <w:sz w:val="17"/>
            <w:szCs w:val="17"/>
            <w:u w:val="single" w:color="auto"/>
            <w:color w:val="0000FF"/>
          </w:rPr>
          <w:t>Bank, N.A., as co-syndication agents, Goldman Sachs Bank USA, BMO Bank N.A. and TD Securities Inc., as co-documentation agents, and</w:t>
        </w:r>
      </w:hyperlink>
      <w:r>
        <w:rPr>
          <w:rFonts w:ascii="Times New Roman" w:cs="Times New Roman" w:eastAsia="Times New Roman" w:hAnsi="Times New Roman"/>
          <w:sz w:val="17"/>
          <w:szCs w:val="17"/>
          <w:u w:val="single" w:color="auto"/>
          <w:color w:val="0000FF"/>
        </w:rPr>
        <w:t xml:space="preserve"> </w:t>
      </w:r>
      <w:hyperlink r:id="rId73">
        <w:r>
          <w:rPr>
            <w:rFonts w:ascii="Times New Roman" w:cs="Times New Roman" w:eastAsia="Times New Roman" w:hAnsi="Times New Roman"/>
            <w:sz w:val="17"/>
            <w:szCs w:val="17"/>
            <w:u w:val="single" w:color="auto"/>
            <w:color w:val="0000FF"/>
          </w:rPr>
          <w:t>various lenders party thereto (incorporated by reference as an exhibit to the Company's Current Report on Form 8-K, event date February 24,</w:t>
        </w:r>
      </w:hyperlink>
    </w:p>
    <w:p>
      <w:pPr>
        <w:spacing w:after="0" w:line="2" w:lineRule="exact"/>
        <w:rPr>
          <w:rFonts w:ascii="Times New Roman" w:cs="Times New Roman" w:eastAsia="Times New Roman" w:hAnsi="Times New Roman"/>
          <w:sz w:val="17"/>
          <w:szCs w:val="17"/>
          <w:u w:val="single" w:color="auto"/>
          <w:color w:val="0000FF"/>
        </w:rPr>
      </w:pPr>
    </w:p>
    <w:p>
      <w:pPr>
        <w:ind w:left="1120"/>
        <w:spacing w:after="0"/>
        <w:rPr>
          <w:rFonts w:ascii="Times New Roman" w:cs="Times New Roman" w:eastAsia="Times New Roman" w:hAnsi="Times New Roman"/>
          <w:sz w:val="17"/>
          <w:szCs w:val="17"/>
          <w:u w:val="single" w:color="auto"/>
          <w:color w:val="0000FF"/>
        </w:rPr>
      </w:pPr>
      <w:hyperlink r:id="rId73">
        <w:r>
          <w:rPr>
            <w:rFonts w:ascii="Times New Roman" w:cs="Times New Roman" w:eastAsia="Times New Roman" w:hAnsi="Times New Roman"/>
            <w:sz w:val="17"/>
            <w:szCs w:val="17"/>
            <w:u w:val="single" w:color="auto"/>
            <w:color w:val="0000FF"/>
          </w:rPr>
          <w:t>2026).</w:t>
        </w:r>
      </w:hyperlink>
    </w:p>
    <w:p>
      <w:pPr>
        <w:spacing w:after="0" w:line="12" w:lineRule="exact"/>
        <w:rPr>
          <w:rFonts w:ascii="Times New Roman" w:cs="Times New Roman" w:eastAsia="Times New Roman" w:hAnsi="Times New Roman"/>
          <w:sz w:val="17"/>
          <w:szCs w:val="17"/>
          <w:u w:val="single" w:color="auto"/>
          <w:color w:val="0000FF"/>
        </w:rPr>
      </w:pPr>
    </w:p>
    <w:p>
      <w:pPr>
        <w:ind w:left="1120" w:right="180" w:hanging="445"/>
        <w:spacing w:after="0" w:line="230" w:lineRule="auto"/>
        <w:tabs>
          <w:tab w:leader="none" w:pos="1100" w:val="left"/>
        </w:tabs>
        <w:rPr>
          <w:rFonts w:ascii="Times New Roman" w:cs="Times New Roman" w:eastAsia="Times New Roman" w:hAnsi="Times New Roman"/>
          <w:sz w:val="17"/>
          <w:szCs w:val="17"/>
          <w:u w:val="single" w:color="auto"/>
          <w:color w:val="0000FF"/>
        </w:rPr>
      </w:pPr>
      <w:hyperlink r:id="rId74">
        <w:r>
          <w:rPr>
            <w:rFonts w:ascii="Times New Roman" w:cs="Times New Roman" w:eastAsia="Times New Roman" w:hAnsi="Times New Roman"/>
            <w:sz w:val="17"/>
            <w:szCs w:val="17"/>
            <w:u w:val="single" w:color="auto"/>
            <w:color w:val="0000FF"/>
          </w:rPr>
          <w:t>10.2</w:t>
        </w:r>
      </w:hyperlink>
      <w:r>
        <w:rPr>
          <w:rFonts w:ascii="Times New Roman" w:cs="Times New Roman" w:eastAsia="Times New Roman" w:hAnsi="Times New Roman"/>
          <w:sz w:val="17"/>
          <w:szCs w:val="17"/>
          <w:u w:val="single" w:color="auto"/>
          <w:color w:val="0000FF"/>
        </w:rPr>
        <w:tab/>
      </w:r>
      <w:hyperlink r:id="rId74">
        <w:r>
          <w:rPr>
            <w:rFonts w:ascii="Times New Roman" w:cs="Times New Roman" w:eastAsia="Times New Roman" w:hAnsi="Times New Roman"/>
            <w:sz w:val="17"/>
            <w:szCs w:val="17"/>
            <w:u w:val="single" w:color="auto"/>
            <w:color w:val="0000FF"/>
          </w:rPr>
          <w:t>Second Amended and Restated Unconditional Guaranty, dated as of February 24, 2026, by the Company in favor of Deutsche Bank AG New</w:t>
        </w:r>
      </w:hyperlink>
      <w:r>
        <w:rPr>
          <w:rFonts w:ascii="Times New Roman" w:cs="Times New Roman" w:eastAsia="Times New Roman" w:hAnsi="Times New Roman"/>
          <w:sz w:val="17"/>
          <w:szCs w:val="17"/>
          <w:u w:val="single" w:color="auto"/>
          <w:color w:val="0000FF"/>
        </w:rPr>
        <w:t xml:space="preserve"> </w:t>
      </w:r>
      <w:hyperlink r:id="rId74">
        <w:r>
          <w:rPr>
            <w:rFonts w:ascii="Times New Roman" w:cs="Times New Roman" w:eastAsia="Times New Roman" w:hAnsi="Times New Roman"/>
            <w:sz w:val="17"/>
            <w:szCs w:val="17"/>
            <w:u w:val="single" w:color="auto"/>
            <w:color w:val="0000FF"/>
          </w:rPr>
          <w:t>York Branch, as administrative agent. (incorporated by reference as an exhibit to the Company's Current Report on Form 8-K, event date</w:t>
        </w:r>
      </w:hyperlink>
      <w:r>
        <w:rPr>
          <w:rFonts w:ascii="Times New Roman" w:cs="Times New Roman" w:eastAsia="Times New Roman" w:hAnsi="Times New Roman"/>
          <w:sz w:val="17"/>
          <w:szCs w:val="17"/>
          <w:u w:val="single" w:color="auto"/>
          <w:color w:val="0000FF"/>
        </w:rPr>
        <w:t xml:space="preserve"> </w:t>
      </w:r>
      <w:hyperlink r:id="rId74">
        <w:r>
          <w:rPr>
            <w:rFonts w:ascii="Times New Roman" w:cs="Times New Roman" w:eastAsia="Times New Roman" w:hAnsi="Times New Roman"/>
            <w:sz w:val="17"/>
            <w:szCs w:val="17"/>
            <w:u w:val="single" w:color="auto"/>
            <w:color w:val="0000FF"/>
          </w:rPr>
          <w:t>February 24, 2026).</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66" w:lineRule="exact"/>
        <w:rPr>
          <w:rFonts w:ascii="Times New Roman" w:cs="Times New Roman" w:eastAsia="Times New Roman" w:hAnsi="Times New Roman"/>
          <w:sz w:val="17"/>
          <w:szCs w:val="17"/>
          <w:u w:val="single" w:color="auto"/>
          <w:color w:val="0000FF"/>
        </w:rPr>
      </w:pPr>
    </w:p>
    <w:p>
      <w:pPr>
        <w:jc w:val="center"/>
        <w:ind w:right="-7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FF"/>
            </w:tcBorders>
            <w:gridSpan w:val="4"/>
          </w:tcPr>
          <w:p>
            <w:pPr>
              <w:jc w:val="center"/>
              <w:ind w:right="20"/>
              <w:spacing w:after="0"/>
              <w:rPr>
                <w:sz w:val="20"/>
                <w:szCs w:val="20"/>
                <w:color w:val="auto"/>
              </w:rPr>
            </w:pPr>
            <w:r>
              <w:rPr>
                <w:rFonts w:ascii="Times New Roman" w:cs="Times New Roman" w:eastAsia="Times New Roman" w:hAnsi="Times New Roman"/>
                <w:sz w:val="14"/>
                <w:szCs w:val="14"/>
                <w:color w:val="0000FF"/>
                <w:w w:val="99"/>
              </w:rPr>
              <w:t>Table of Contents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5"/>
        </w:trPr>
        <w:tc>
          <w:tcPr>
            <w:tcW w:w="11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40" w:type="dxa"/>
            <w:vAlign w:val="bottom"/>
            <w:gridSpan w:val="4"/>
            <w:vMerge w:val="restart"/>
          </w:tcPr>
          <w:p>
            <w:pPr>
              <w:ind w:left="3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1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0" w:type="dxa"/>
            <w:vAlign w:val="bottom"/>
            <w:tcBorders>
              <w:top w:val="single" w:sz="8" w:color="auto"/>
            </w:tcBorders>
            <w:gridSpan w:val="2"/>
          </w:tcPr>
          <w:p>
            <w:pPr>
              <w:spacing w:after="0"/>
              <w:rPr>
                <w:sz w:val="15"/>
                <w:szCs w:val="15"/>
                <w:color w:val="auto"/>
              </w:rPr>
            </w:pPr>
          </w:p>
        </w:tc>
        <w:tc>
          <w:tcPr>
            <w:tcW w:w="3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7"/>
                <w:szCs w:val="17"/>
                <w:color w:val="0000FF"/>
              </w:rPr>
              <w:t>Section 302</w:t>
            </w:r>
          </w:p>
        </w:tc>
        <w:tc>
          <w:tcPr>
            <w:tcW w:w="9240" w:type="dxa"/>
            <w:vAlign w:val="bottom"/>
            <w:tcBorders>
              <w:top w:val="single" w:sz="8" w:color="auto"/>
            </w:tcBorders>
            <w:gridSpan w:val="4"/>
          </w:tcPr>
          <w:p>
            <w:pPr>
              <w:ind w:left="20"/>
              <w:spacing w:after="0" w:line="182" w:lineRule="exact"/>
              <w:rPr>
                <w:sz w:val="20"/>
                <w:szCs w:val="20"/>
                <w:color w:val="auto"/>
              </w:rPr>
            </w:pPr>
            <w:r>
              <w:rPr>
                <w:rFonts w:ascii="Times New Roman" w:cs="Times New Roman" w:eastAsia="Times New Roman" w:hAnsi="Times New Roman"/>
                <w:sz w:val="17"/>
                <w:szCs w:val="17"/>
                <w:color w:val="0000FF"/>
              </w:rPr>
              <w:t>Certification of Jackson Hsieh, Chief Executive Officer</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9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 w:type="dxa"/>
            <w:vAlign w:val="bottom"/>
            <w:gridSpan w:val="2"/>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0000FF"/>
              </w:rPr>
              <w:t>Section 302</w:t>
            </w:r>
          </w:p>
        </w:tc>
        <w:tc>
          <w:tcPr>
            <w:tcW w:w="9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Certification of Daniel E. Swanstrom II, Chief Financial Officer</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0000FF"/>
              </w:rPr>
              <w:t>Section 906</w:t>
            </w:r>
          </w:p>
        </w:tc>
        <w:tc>
          <w:tcPr>
            <w:tcW w:w="9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Certifications of Jackson Hsieh and Daniel E. Swanstrom II</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3"/>
            <w:shd w:val="clear" w:color="auto" w:fill="0000FF"/>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00" w:type="dxa"/>
            <w:vAlign w:val="bottom"/>
            <w:gridSpan w:val="5"/>
          </w:tcPr>
          <w:p>
            <w:pPr>
              <w:jc w:val="right"/>
              <w:ind w:right="12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0"/>
                <w:szCs w:val="20"/>
                <w:color w:val="auto"/>
              </w:rPr>
            </w:pPr>
          </w:p>
        </w:tc>
        <w:tc>
          <w:tcPr>
            <w:tcW w:w="100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223"/>
        </w:trPr>
        <w:tc>
          <w:tcPr>
            <w:tcW w:w="1100" w:type="dxa"/>
            <w:vAlign w:val="bottom"/>
            <w:gridSpan w:val="5"/>
          </w:tcPr>
          <w:p>
            <w:pPr>
              <w:jc w:val="right"/>
              <w:ind w:right="12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19"/>
                <w:szCs w:val="19"/>
                <w:color w:val="auto"/>
              </w:rPr>
            </w:pPr>
          </w:p>
        </w:tc>
        <w:tc>
          <w:tcPr>
            <w:tcW w:w="100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23"/>
        </w:trPr>
        <w:tc>
          <w:tcPr>
            <w:tcW w:w="1100" w:type="dxa"/>
            <w:vAlign w:val="bottom"/>
            <w:gridSpan w:val="5"/>
          </w:tcPr>
          <w:p>
            <w:pPr>
              <w:jc w:val="right"/>
              <w:ind w:right="12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19"/>
                <w:szCs w:val="19"/>
                <w:color w:val="auto"/>
              </w:rPr>
            </w:pPr>
          </w:p>
        </w:tc>
        <w:tc>
          <w:tcPr>
            <w:tcW w:w="100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1100" w:type="dxa"/>
            <w:vAlign w:val="bottom"/>
            <w:gridSpan w:val="5"/>
          </w:tcPr>
          <w:p>
            <w:pPr>
              <w:jc w:val="right"/>
              <w:ind w:right="12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19"/>
                <w:szCs w:val="19"/>
                <w:color w:val="auto"/>
              </w:rPr>
            </w:pPr>
          </w:p>
        </w:tc>
        <w:tc>
          <w:tcPr>
            <w:tcW w:w="100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28"/>
        </w:trPr>
        <w:tc>
          <w:tcPr>
            <w:tcW w:w="1100" w:type="dxa"/>
            <w:vAlign w:val="bottom"/>
            <w:gridSpan w:val="5"/>
          </w:tcPr>
          <w:p>
            <w:pPr>
              <w:jc w:val="right"/>
              <w:ind w:right="12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19"/>
                <w:szCs w:val="19"/>
                <w:color w:val="auto"/>
              </w:rPr>
            </w:pPr>
          </w:p>
        </w:tc>
        <w:tc>
          <w:tcPr>
            <w:tcW w:w="100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0" w:type="dxa"/>
            <w:vAlign w:val="bottom"/>
          </w:tcPr>
          <w:p>
            <w:pPr>
              <w:spacing w:after="0"/>
              <w:rPr>
                <w:sz w:val="1"/>
                <w:szCs w:val="1"/>
                <w:color w:val="auto"/>
              </w:rPr>
            </w:pPr>
          </w:p>
        </w:tc>
      </w:tr>
    </w:tbl>
    <w:p>
      <w:pPr>
        <w:ind w:left="1120" w:hanging="411"/>
        <w:spacing w:after="0"/>
        <w:tabs>
          <w:tab w:leader="none" w:pos="11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ind w:left="220" w:hanging="215"/>
        <w:spacing w:after="0"/>
        <w:tabs>
          <w:tab w:leader="none" w:pos="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0"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47" w:lineRule="exact"/>
        <w:rPr>
          <w:sz w:val="20"/>
          <w:szCs w:val="20"/>
          <w:color w:val="auto"/>
        </w:rPr>
      </w:pPr>
    </w:p>
    <w:p>
      <w:pPr>
        <w:ind w:right="480" w:firstLine="433"/>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color w:val="auto"/>
        </w:rPr>
        <w:t>THE MACERICH COMPANY</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160" w:type="dxa"/>
            <w:vAlign w:val="bottom"/>
          </w:tcPr>
          <w:p>
            <w:pPr>
              <w:ind w:left="4720"/>
              <w:spacing w:after="0"/>
              <w:rPr>
                <w:sz w:val="20"/>
                <w:szCs w:val="20"/>
                <w:color w:val="auto"/>
              </w:rPr>
            </w:pPr>
            <w:r>
              <w:rPr>
                <w:rFonts w:ascii="Times New Roman" w:cs="Times New Roman" w:eastAsia="Times New Roman" w:hAnsi="Times New Roman"/>
                <w:sz w:val="17"/>
                <w:szCs w:val="17"/>
                <w:color w:val="auto"/>
              </w:rPr>
              <w:t>By:</w:t>
            </w:r>
          </w:p>
        </w:tc>
        <w:tc>
          <w:tcPr>
            <w:tcW w:w="5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JACKSON HSIEH</w:t>
            </w:r>
          </w:p>
        </w:tc>
      </w:tr>
      <w:tr>
        <w:trPr>
          <w:trHeight w:val="209"/>
        </w:trPr>
        <w:tc>
          <w:tcPr>
            <w:tcW w:w="5160" w:type="dxa"/>
            <w:vAlign w:val="bottom"/>
          </w:tcPr>
          <w:p>
            <w:pPr>
              <w:spacing w:after="0"/>
              <w:rPr>
                <w:sz w:val="18"/>
                <w:szCs w:val="18"/>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Jackson Hsieh</w:t>
            </w:r>
          </w:p>
        </w:tc>
      </w:tr>
      <w:tr>
        <w:trPr>
          <w:trHeight w:val="223"/>
        </w:trPr>
        <w:tc>
          <w:tcPr>
            <w:tcW w:w="5160" w:type="dxa"/>
            <w:vAlign w:val="bottom"/>
          </w:tcPr>
          <w:p>
            <w:pPr>
              <w:spacing w:after="0"/>
              <w:rPr>
                <w:sz w:val="19"/>
                <w:szCs w:val="19"/>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r>
      <w:tr>
        <w:trPr>
          <w:trHeight w:val="230"/>
        </w:trPr>
        <w:tc>
          <w:tcPr>
            <w:tcW w:w="5160" w:type="dxa"/>
            <w:vAlign w:val="bottom"/>
          </w:tcPr>
          <w:p>
            <w:pPr>
              <w:spacing w:after="0"/>
              <w:rPr>
                <w:sz w:val="19"/>
                <w:szCs w:val="19"/>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485"/>
        </w:trPr>
        <w:tc>
          <w:tcPr>
            <w:tcW w:w="5160" w:type="dxa"/>
            <w:vAlign w:val="bottom"/>
          </w:tcPr>
          <w:p>
            <w:pPr>
              <w:ind w:left="4720"/>
              <w:spacing w:after="0"/>
              <w:rPr>
                <w:sz w:val="20"/>
                <w:szCs w:val="20"/>
                <w:color w:val="auto"/>
              </w:rPr>
            </w:pPr>
            <w:r>
              <w:rPr>
                <w:rFonts w:ascii="Times New Roman" w:cs="Times New Roman" w:eastAsia="Times New Roman" w:hAnsi="Times New Roman"/>
                <w:sz w:val="17"/>
                <w:szCs w:val="17"/>
                <w:color w:val="auto"/>
              </w:rPr>
              <w:t>By:</w:t>
            </w:r>
          </w:p>
        </w:tc>
        <w:tc>
          <w:tcPr>
            <w:tcW w:w="5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DANIEL E. SWANSTROM II</w:t>
            </w:r>
          </w:p>
        </w:tc>
      </w:tr>
      <w:tr>
        <w:trPr>
          <w:trHeight w:val="209"/>
        </w:trPr>
        <w:tc>
          <w:tcPr>
            <w:tcW w:w="5160" w:type="dxa"/>
            <w:vAlign w:val="bottom"/>
          </w:tcPr>
          <w:p>
            <w:pPr>
              <w:spacing w:after="0"/>
              <w:rPr>
                <w:sz w:val="18"/>
                <w:szCs w:val="18"/>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Daniel E. Swanstrom II</w:t>
            </w:r>
          </w:p>
        </w:tc>
      </w:tr>
      <w:tr>
        <w:trPr>
          <w:trHeight w:val="223"/>
        </w:trPr>
        <w:tc>
          <w:tcPr>
            <w:tcW w:w="5160" w:type="dxa"/>
            <w:vAlign w:val="bottom"/>
          </w:tcPr>
          <w:p>
            <w:pPr>
              <w:spacing w:after="0"/>
              <w:rPr>
                <w:sz w:val="19"/>
                <w:szCs w:val="19"/>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Senior Executive Vice President, Treasurer and Chief Financial Officer</w:t>
            </w:r>
          </w:p>
        </w:tc>
      </w:tr>
      <w:tr>
        <w:trPr>
          <w:trHeight w:val="230"/>
        </w:trPr>
        <w:tc>
          <w:tcPr>
            <w:tcW w:w="5160" w:type="dxa"/>
            <w:vAlign w:val="bottom"/>
          </w:tcPr>
          <w:p>
            <w:pPr>
              <w:spacing w:after="0"/>
              <w:rPr>
                <w:sz w:val="19"/>
                <w:szCs w:val="19"/>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r>
        <w:trPr>
          <w:trHeight w:val="485"/>
        </w:trPr>
        <w:tc>
          <w:tcPr>
            <w:tcW w:w="5160" w:type="dxa"/>
            <w:vAlign w:val="bottom"/>
          </w:tcPr>
          <w:p>
            <w:pPr>
              <w:ind w:left="4720"/>
              <w:spacing w:after="0"/>
              <w:rPr>
                <w:sz w:val="20"/>
                <w:szCs w:val="20"/>
                <w:color w:val="auto"/>
              </w:rPr>
            </w:pPr>
            <w:r>
              <w:rPr>
                <w:rFonts w:ascii="Times New Roman" w:cs="Times New Roman" w:eastAsia="Times New Roman" w:hAnsi="Times New Roman"/>
                <w:sz w:val="17"/>
                <w:szCs w:val="17"/>
                <w:color w:val="auto"/>
              </w:rPr>
              <w:t>By:</w:t>
            </w:r>
          </w:p>
        </w:tc>
        <w:tc>
          <w:tcPr>
            <w:tcW w:w="5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CHRISTOPHER J. ZECCHINI</w:t>
            </w:r>
          </w:p>
        </w:tc>
      </w:tr>
      <w:tr>
        <w:trPr>
          <w:trHeight w:val="209"/>
        </w:trPr>
        <w:tc>
          <w:tcPr>
            <w:tcW w:w="5160" w:type="dxa"/>
            <w:vAlign w:val="bottom"/>
          </w:tcPr>
          <w:p>
            <w:pPr>
              <w:spacing w:after="0"/>
              <w:rPr>
                <w:sz w:val="18"/>
                <w:szCs w:val="18"/>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Christopher J. Zecchini</w:t>
            </w:r>
          </w:p>
        </w:tc>
      </w:tr>
      <w:tr>
        <w:trPr>
          <w:trHeight w:val="223"/>
        </w:trPr>
        <w:tc>
          <w:tcPr>
            <w:tcW w:w="5160" w:type="dxa"/>
            <w:vAlign w:val="bottom"/>
          </w:tcPr>
          <w:p>
            <w:pPr>
              <w:spacing w:after="0"/>
              <w:rPr>
                <w:sz w:val="19"/>
                <w:szCs w:val="19"/>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Senior Vice President and Chief Accounting Officer</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Date:   May 7, 2026</w:t>
            </w:r>
          </w:p>
        </w:tc>
        <w:tc>
          <w:tcPr>
            <w:tcW w:w="572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0900"/>
          </w:cols>
          <w:pgMar w:left="320" w:top="118" w:right="67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CERTIFICATION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Jackson Hsieh, certify that:</w:t>
      </w:r>
    </w:p>
    <w:p>
      <w:pPr>
        <w:spacing w:after="0" w:line="159" w:lineRule="exact"/>
        <w:rPr>
          <w:sz w:val="20"/>
          <w:szCs w:val="20"/>
          <w:color w:val="auto"/>
        </w:rPr>
      </w:pPr>
    </w:p>
    <w:p>
      <w:pPr>
        <w:ind w:left="640" w:hanging="320"/>
        <w:spacing w:after="0"/>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10-Q for the quarter ended March 31, 2026 of The Macerich Company;</w:t>
      </w:r>
    </w:p>
    <w:p>
      <w:pPr>
        <w:spacing w:after="0" w:line="158" w:lineRule="exact"/>
        <w:rPr>
          <w:rFonts w:ascii="Times New Roman" w:cs="Times New Roman" w:eastAsia="Times New Roman" w:hAnsi="Times New Roman"/>
          <w:sz w:val="17"/>
          <w:szCs w:val="17"/>
          <w:color w:val="auto"/>
        </w:rPr>
      </w:pPr>
    </w:p>
    <w:p>
      <w:pPr>
        <w:jc w:val="both"/>
        <w:ind w:left="640" w:right="440" w:hanging="320"/>
        <w:spacing w:after="0" w:line="277"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Times New Roman" w:cs="Times New Roman" w:eastAsia="Times New Roman" w:hAnsi="Times New Roman"/>
          <w:sz w:val="17"/>
          <w:szCs w:val="17"/>
          <w:color w:val="auto"/>
        </w:rPr>
      </w:pPr>
    </w:p>
    <w:p>
      <w:pPr>
        <w:ind w:left="640" w:right="400" w:hanging="320"/>
        <w:spacing w:after="0" w:line="297"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7"/>
          <w:szCs w:val="17"/>
          <w:color w:val="auto"/>
        </w:rPr>
      </w:pPr>
    </w:p>
    <w:p>
      <w:pPr>
        <w:ind w:left="640" w:right="20" w:hanging="320"/>
        <w:spacing w:after="0" w:line="277"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7"/>
          <w:szCs w:val="17"/>
          <w:color w:val="auto"/>
        </w:rPr>
      </w:pPr>
    </w:p>
    <w:p>
      <w:pPr>
        <w:ind w:left="940" w:right="380" w:hanging="306"/>
        <w:spacing w:after="0" w:line="277" w:lineRule="auto"/>
        <w:tabs>
          <w:tab w:leader="none" w:pos="93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Times New Roman" w:cs="Times New Roman" w:eastAsia="Times New Roman" w:hAnsi="Times New Roman"/>
          <w:sz w:val="17"/>
          <w:szCs w:val="17"/>
          <w:color w:val="auto"/>
        </w:rPr>
      </w:pPr>
    </w:p>
    <w:p>
      <w:pPr>
        <w:ind w:left="940" w:right="80" w:hanging="306"/>
        <w:spacing w:after="0" w:line="277" w:lineRule="auto"/>
        <w:tabs>
          <w:tab w:leader="none" w:pos="934"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Times New Roman" w:cs="Times New Roman" w:eastAsia="Times New Roman" w:hAnsi="Times New Roman"/>
          <w:sz w:val="17"/>
          <w:szCs w:val="17"/>
          <w:color w:val="auto"/>
        </w:rPr>
      </w:pPr>
    </w:p>
    <w:p>
      <w:pPr>
        <w:jc w:val="both"/>
        <w:ind w:left="940" w:right="840" w:hanging="306"/>
        <w:spacing w:after="0" w:line="297" w:lineRule="auto"/>
        <w:tabs>
          <w:tab w:leader="none" w:pos="93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7"/>
          <w:szCs w:val="17"/>
          <w:color w:val="auto"/>
        </w:rPr>
      </w:pPr>
    </w:p>
    <w:p>
      <w:pPr>
        <w:ind w:left="940" w:right="120" w:hanging="306"/>
        <w:spacing w:after="0" w:line="277" w:lineRule="auto"/>
        <w:tabs>
          <w:tab w:leader="none" w:pos="934"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Times New Roman" w:cs="Times New Roman" w:eastAsia="Times New Roman" w:hAnsi="Times New Roman"/>
          <w:sz w:val="17"/>
          <w:szCs w:val="17"/>
          <w:color w:val="auto"/>
        </w:rPr>
      </w:pPr>
    </w:p>
    <w:p>
      <w:pPr>
        <w:ind w:left="640" w:right="160" w:hanging="320"/>
        <w:spacing w:after="0" w:line="297"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7"/>
          <w:szCs w:val="17"/>
          <w:color w:val="auto"/>
        </w:rPr>
      </w:pPr>
    </w:p>
    <w:p>
      <w:pPr>
        <w:ind w:left="940" w:right="280" w:hanging="306"/>
        <w:spacing w:after="0" w:line="297" w:lineRule="auto"/>
        <w:tabs>
          <w:tab w:leader="none" w:pos="93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7"/>
          <w:szCs w:val="17"/>
          <w:color w:val="auto"/>
        </w:rPr>
      </w:pPr>
    </w:p>
    <w:p>
      <w:pPr>
        <w:ind w:left="940" w:right="260" w:hanging="306"/>
        <w:spacing w:after="0" w:line="281" w:lineRule="auto"/>
        <w:tabs>
          <w:tab w:leader="none" w:pos="934"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/s/ JACKSON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20955</wp:posOffset>
            </wp:positionV>
            <wp:extent cx="28225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2822575" cy="8255"/>
                    </a:xfrm>
                    <a:prstGeom prst="rect">
                      <a:avLst/>
                    </a:prstGeom>
                    <a:noFill/>
                  </pic:spPr>
                </pic:pic>
              </a:graphicData>
            </a:graphic>
          </wp:anchor>
        </w:drawing>
      </w:r>
    </w:p>
    <w:p>
      <w:pPr>
        <w:spacing w:after="0" w:line="19" w:lineRule="exact"/>
        <w:rPr>
          <w:sz w:val="20"/>
          <w:szCs w:val="20"/>
          <w:color w:val="auto"/>
        </w:rPr>
      </w:pPr>
    </w:p>
    <w:p>
      <w:pPr>
        <w:ind w:left="960"/>
        <w:spacing w:after="0"/>
        <w:tabs>
          <w:tab w:leader="none" w:pos="1700" w:val="left"/>
          <w:tab w:leader="none" w:pos="604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7, 2026</w:t>
      </w:r>
      <w:r>
        <w:rPr>
          <w:sz w:val="20"/>
          <w:szCs w:val="20"/>
          <w:color w:val="auto"/>
        </w:rPr>
        <w:tab/>
      </w:r>
      <w:r>
        <w:rPr>
          <w:rFonts w:ascii="Times New Roman" w:cs="Times New Roman" w:eastAsia="Times New Roman" w:hAnsi="Times New Roman"/>
          <w:sz w:val="17"/>
          <w:szCs w:val="17"/>
          <w:i w:val="1"/>
          <w:iCs w:val="1"/>
          <w:color w:val="auto"/>
        </w:rPr>
        <w:t>Chief Executive Officer</w:t>
      </w:r>
    </w:p>
    <w:p>
      <w:pPr>
        <w:sectPr>
          <w:pgSz w:w="11900" w:h="16838" w:orient="portrait"/>
          <w:cols w:equalWidth="0" w:num="1">
            <w:col w:w="11240"/>
          </w:cols>
          <w:pgMar w:left="320" w:top="958"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CERTIFICATION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Daniel E. Swanstrom II, certify that:</w:t>
      </w:r>
    </w:p>
    <w:p>
      <w:pPr>
        <w:spacing w:after="0" w:line="159" w:lineRule="exact"/>
        <w:rPr>
          <w:sz w:val="20"/>
          <w:szCs w:val="20"/>
          <w:color w:val="auto"/>
        </w:rPr>
      </w:pPr>
    </w:p>
    <w:p>
      <w:pPr>
        <w:ind w:left="640" w:hanging="320"/>
        <w:spacing w:after="0"/>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10-Q for the quarter ended March 31, 2026 of The Macerich Company;</w:t>
      </w:r>
    </w:p>
    <w:p>
      <w:pPr>
        <w:spacing w:after="0" w:line="158" w:lineRule="exact"/>
        <w:rPr>
          <w:rFonts w:ascii="Times New Roman" w:cs="Times New Roman" w:eastAsia="Times New Roman" w:hAnsi="Times New Roman"/>
          <w:sz w:val="17"/>
          <w:szCs w:val="17"/>
          <w:color w:val="auto"/>
        </w:rPr>
      </w:pPr>
    </w:p>
    <w:p>
      <w:pPr>
        <w:jc w:val="both"/>
        <w:ind w:left="640" w:right="440" w:hanging="320"/>
        <w:spacing w:after="0" w:line="277" w:lineRule="auto"/>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Times New Roman" w:cs="Times New Roman" w:eastAsia="Times New Roman" w:hAnsi="Times New Roman"/>
          <w:sz w:val="17"/>
          <w:szCs w:val="17"/>
          <w:color w:val="auto"/>
        </w:rPr>
      </w:pPr>
    </w:p>
    <w:p>
      <w:pPr>
        <w:ind w:left="640" w:right="400" w:hanging="320"/>
        <w:spacing w:after="0" w:line="297" w:lineRule="auto"/>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7"/>
          <w:szCs w:val="17"/>
          <w:color w:val="auto"/>
        </w:rPr>
      </w:pPr>
    </w:p>
    <w:p>
      <w:pPr>
        <w:ind w:left="640" w:right="20" w:hanging="320"/>
        <w:spacing w:after="0" w:line="277" w:lineRule="auto"/>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7"/>
          <w:szCs w:val="17"/>
          <w:color w:val="auto"/>
        </w:rPr>
      </w:pPr>
    </w:p>
    <w:p>
      <w:pPr>
        <w:ind w:left="940" w:right="380" w:hanging="306"/>
        <w:spacing w:after="0" w:line="277" w:lineRule="auto"/>
        <w:tabs>
          <w:tab w:leader="none" w:pos="93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Times New Roman" w:cs="Times New Roman" w:eastAsia="Times New Roman" w:hAnsi="Times New Roman"/>
          <w:sz w:val="17"/>
          <w:szCs w:val="17"/>
          <w:color w:val="auto"/>
        </w:rPr>
      </w:pPr>
    </w:p>
    <w:p>
      <w:pPr>
        <w:ind w:left="940" w:right="80" w:hanging="306"/>
        <w:spacing w:after="0" w:line="277" w:lineRule="auto"/>
        <w:tabs>
          <w:tab w:leader="none" w:pos="934"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Times New Roman" w:cs="Times New Roman" w:eastAsia="Times New Roman" w:hAnsi="Times New Roman"/>
          <w:sz w:val="17"/>
          <w:szCs w:val="17"/>
          <w:color w:val="auto"/>
        </w:rPr>
      </w:pPr>
    </w:p>
    <w:p>
      <w:pPr>
        <w:jc w:val="both"/>
        <w:ind w:left="940" w:right="840" w:hanging="306"/>
        <w:spacing w:after="0" w:line="297" w:lineRule="auto"/>
        <w:tabs>
          <w:tab w:leader="none" w:pos="93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7"/>
          <w:szCs w:val="17"/>
          <w:color w:val="auto"/>
        </w:rPr>
      </w:pPr>
    </w:p>
    <w:p>
      <w:pPr>
        <w:ind w:left="940" w:right="120" w:hanging="306"/>
        <w:spacing w:after="0" w:line="277" w:lineRule="auto"/>
        <w:tabs>
          <w:tab w:leader="none" w:pos="934"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Times New Roman" w:cs="Times New Roman" w:eastAsia="Times New Roman" w:hAnsi="Times New Roman"/>
          <w:sz w:val="17"/>
          <w:szCs w:val="17"/>
          <w:color w:val="auto"/>
        </w:rPr>
      </w:pPr>
    </w:p>
    <w:p>
      <w:pPr>
        <w:ind w:left="640" w:right="160" w:hanging="320"/>
        <w:spacing w:after="0" w:line="297" w:lineRule="auto"/>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7"/>
          <w:szCs w:val="17"/>
          <w:color w:val="auto"/>
        </w:rPr>
      </w:pPr>
    </w:p>
    <w:p>
      <w:pPr>
        <w:ind w:left="940" w:right="280" w:hanging="306"/>
        <w:spacing w:after="0" w:line="297" w:lineRule="auto"/>
        <w:tabs>
          <w:tab w:leader="none" w:pos="93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7"/>
          <w:szCs w:val="17"/>
          <w:color w:val="auto"/>
        </w:rPr>
      </w:pPr>
    </w:p>
    <w:p>
      <w:pPr>
        <w:ind w:left="940" w:right="260" w:hanging="306"/>
        <w:spacing w:after="0" w:line="281" w:lineRule="auto"/>
        <w:tabs>
          <w:tab w:leader="none" w:pos="934"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/s/ DANIEL E. SWANSTROM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20955</wp:posOffset>
            </wp:positionV>
            <wp:extent cx="31889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9" w:lineRule="exact"/>
        <w:rPr>
          <w:sz w:val="20"/>
          <w:szCs w:val="20"/>
          <w:color w:val="auto"/>
        </w:rPr>
      </w:pPr>
    </w:p>
    <w:p>
      <w:pPr>
        <w:ind w:left="960"/>
        <w:spacing w:after="0"/>
        <w:tabs>
          <w:tab w:leader="none" w:pos="1700" w:val="left"/>
          <w:tab w:leader="none" w:pos="55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7, 2026</w:t>
      </w:r>
      <w:r>
        <w:rPr>
          <w:sz w:val="20"/>
          <w:szCs w:val="20"/>
          <w:color w:val="auto"/>
        </w:rPr>
        <w:tab/>
      </w:r>
      <w:r>
        <w:rPr>
          <w:rFonts w:ascii="Times New Roman" w:cs="Times New Roman" w:eastAsia="Times New Roman" w:hAnsi="Times New Roman"/>
          <w:sz w:val="17"/>
          <w:szCs w:val="17"/>
          <w:i w:val="1"/>
          <w:iCs w:val="1"/>
          <w:color w:val="auto"/>
        </w:rPr>
        <w:t>Senior Executive Vice President and Chief Financial Officer</w:t>
      </w:r>
    </w:p>
    <w:p>
      <w:pPr>
        <w:sectPr>
          <w:pgSz w:w="11900" w:h="16838" w:orient="portrait"/>
          <w:cols w:equalWidth="0" w:num="1">
            <w:col w:w="11240"/>
          </w:cols>
          <w:pgMar w:left="320" w:top="958"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WRITTEN STATEMENT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08" w:lineRule="exact"/>
        <w:rPr>
          <w:sz w:val="20"/>
          <w:szCs w:val="20"/>
          <w:color w:val="auto"/>
        </w:rPr>
      </w:pPr>
    </w:p>
    <w:p>
      <w:pPr>
        <w:ind w:right="520" w:firstLine="315"/>
        <w:spacing w:after="0" w:line="297" w:lineRule="auto"/>
        <w:rPr>
          <w:sz w:val="20"/>
          <w:szCs w:val="20"/>
          <w:color w:val="auto"/>
        </w:rPr>
      </w:pPr>
      <w:r>
        <w:rPr>
          <w:rFonts w:ascii="Times New Roman" w:cs="Times New Roman" w:eastAsia="Times New Roman" w:hAnsi="Times New Roman"/>
          <w:sz w:val="17"/>
          <w:szCs w:val="17"/>
          <w:color w:val="auto"/>
        </w:rPr>
        <w:t>The undersigned, Jackson Hsieh and Daniel E. Swanstrom II, the Chief Executive Officer and Chief Financial Officer, respectively, of The Macerich Company (the "Company"), pursuant to 18 U.S.C. §1350, each hereby certifies that, to the best of his knowledge:</w:t>
      </w:r>
    </w:p>
    <w:p>
      <w:pPr>
        <w:spacing w:after="0" w:line="14" w:lineRule="exact"/>
        <w:rPr>
          <w:sz w:val="20"/>
          <w:szCs w:val="20"/>
          <w:color w:val="auto"/>
        </w:rPr>
      </w:pPr>
    </w:p>
    <w:p>
      <w:pPr>
        <w:ind w:left="940" w:right="140" w:hanging="306"/>
        <w:spacing w:after="0" w:line="297" w:lineRule="auto"/>
        <w:tabs>
          <w:tab w:leader="none" w:pos="9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 ended March 31, 2026 of the Company (the "Report") fully complies with the requirements of Section 13(a) and 15(d) of the Securities Exchange Act of 1934, as amended; and</w:t>
      </w:r>
    </w:p>
    <w:p>
      <w:pPr>
        <w:spacing w:after="0" w:line="27"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7, 2026</w:t>
      </w:r>
    </w:p>
    <w:p>
      <w:pPr>
        <w:spacing w:after="0" w:line="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/s/ JACKSON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20955</wp:posOffset>
            </wp:positionV>
            <wp:extent cx="35725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3572510" cy="8255"/>
                    </a:xfrm>
                    <a:prstGeom prst="rect">
                      <a:avLst/>
                    </a:prstGeom>
                    <a:noFill/>
                  </pic:spPr>
                </pic:pic>
              </a:graphicData>
            </a:graphic>
          </wp:anchor>
        </w:drawing>
      </w:r>
    </w:p>
    <w:p>
      <w:pPr>
        <w:spacing w:after="0" w:line="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2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/s/ DANIEL E. SWANSTROM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20955</wp:posOffset>
            </wp:positionV>
            <wp:extent cx="35725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3572510" cy="8255"/>
                    </a:xfrm>
                    <a:prstGeom prst="rect">
                      <a:avLst/>
                    </a:prstGeom>
                    <a:noFill/>
                  </pic:spPr>
                </pic:pic>
              </a:graphicData>
            </a:graphic>
          </wp:anchor>
        </w:drawing>
      </w:r>
    </w:p>
    <w:p>
      <w:pPr>
        <w:spacing w:after="0" w:line="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i w:val="1"/>
          <w:iCs w:val="1"/>
          <w:color w:val="auto"/>
        </w:rPr>
        <w:t>Senior Executive Vice President and Chief Financial Officer</w:t>
      </w:r>
    </w:p>
    <w:sectPr>
      <w:pgSz w:w="11900" w:h="16838" w:orient="portrait"/>
      <w:cols w:equalWidth="0" w:num="1">
        <w:col w:w="11240"/>
      </w:cols>
      <w:pgMar w:left="320" w:top="9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1"/>
      <w:numFmt w:val="decimal"/>
      <w:start w:val="1"/>
    </w:lvl>
    <w:lvl w:ilvl="1">
      <w:lvlJc w:val="left"/>
      <w:lvlText w:val="(%2)"/>
      <w:numFmt w:val="decimal"/>
      <w:start w:val="1"/>
    </w:lvl>
  </w:abstractNum>
  <w:abstractNum w:abstractNumId="4">
    <w:nsid w:val="6B68079A"/>
    <w:multiLevelType w:val="hybridMultilevel"/>
    <w:lvl w:ilvl="0">
      <w:lvlJc w:val="left"/>
      <w:lvlText w:val="%1."/>
      <w:numFmt w:val="decimal"/>
      <w:start w:val="4"/>
    </w:lvl>
    <w:lvl w:ilvl="1">
      <w:lvlJc w:val="left"/>
      <w:lvlText w:val="%2"/>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2"/>
    </w:lvl>
  </w:abstractNum>
  <w:abstractNum w:abstractNumId="11">
    <w:nsid w:val="257130A3"/>
    <w:multiLevelType w:val="hybridMultilevel"/>
    <w:lvl w:ilvl="0">
      <w:lvlJc w:val="left"/>
      <w:lvlText w:val="%1."/>
      <w:numFmt w:val="decimal"/>
      <w:start w:val="14"/>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Letter"/>
      <w:start w:val="1"/>
    </w:lvl>
    <w:lvl w:ilvl="1">
      <w:lvlJc w:val="left"/>
      <w:lvlText w:val="(%2)"/>
      <w:numFmt w:val="lowerLetter"/>
      <w:start w:val="1"/>
    </w:lvl>
  </w:abstractNum>
  <w:abstractNum w:abstractNumId="21">
    <w:nsid w:val="8EDBDAB"/>
    <w:multiLevelType w:val="hybridMultilevel"/>
    <w:lvl w:ilvl="0">
      <w:lvlJc w:val="left"/>
      <w:lvlText w:val="(%1)"/>
      <w:numFmt w:val="lowerLetter"/>
      <w:start w:val="3"/>
    </w:lvl>
    <w:lvl w:ilvl="1">
      <w:lvlJc w:val="left"/>
      <w:lvlText w:val="%2"/>
      <w:numFmt w:val="lowerLetter"/>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
      <w:numFmt w:val="bullet"/>
      <w:start w:val="1"/>
    </w:lvl>
    <w:lvl w:ilvl="1">
      <w:lvlJc w:val="left"/>
      <w:lvlText w:val="%2"/>
      <w:numFmt w:val="decimal"/>
      <w:start w:val="104"/>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58" Type="http://schemas.openxmlformats.org/officeDocument/2006/relationships/hyperlink" Target="https://www.sec.gov/Archives/edgar/data/912242/000110465914081468/a14-24669_1ex2d1.htm" TargetMode="External"/><Relationship Id="rId59" Type="http://schemas.openxmlformats.org/officeDocument/2006/relationships/hyperlink" Target="https://www.sec.gov/Archives/edgar/data/912242/0001047469-99-012492.txt" TargetMode="External"/><Relationship Id="rId60" Type="http://schemas.openxmlformats.org/officeDocument/2006/relationships/hyperlink" Target="https://www.sec.gov/Archives/edgar/data/912242/000091205702030706/a2086079zex-3_1.htm" TargetMode="External"/><Relationship Id="rId61" Type="http://schemas.openxmlformats.org/officeDocument/2006/relationships/hyperlink" Target="https://www.sec.gov/Archives/edgar/data/912242/000091205702021417/a2080342zex-4_6.htm" TargetMode="External"/><Relationship Id="rId62" Type="http://schemas.openxmlformats.org/officeDocument/2006/relationships/hyperlink" Target="https://www.sec.gov/Archives/edgar/data/912242/000104746909001981/a2189901zex-3_15.htm" TargetMode="External"/><Relationship Id="rId63" Type="http://schemas.openxmlformats.org/officeDocument/2006/relationships/hyperlink" Target="https://www.sec.gov/Archives/edgar/data/912242/000110465909008348/a09-5253_1ex3d1.htm" TargetMode="External"/><Relationship Id="rId64" Type="http://schemas.openxmlformats.org/officeDocument/2006/relationships/hyperlink" Target="https://www.sec.gov/Archives/edgar/data/912242/000104746909007391/a2193924zex-3_17.htm" TargetMode="External"/><Relationship Id="rId65" Type="http://schemas.openxmlformats.org/officeDocument/2006/relationships/hyperlink" Target="https://www.sec.gov/Archives/edgar/data/912242/000110465914043330/a14-14485_1ex3d1.htm" TargetMode="External"/><Relationship Id="rId66" Type="http://schemas.openxmlformats.org/officeDocument/2006/relationships/hyperlink" Target="https://www.sec.gov/Archives/edgar/data/912242/000110465915020412/a15-6870_1ex3d1.htm" TargetMode="External"/><Relationship Id="rId67" Type="http://schemas.openxmlformats.org/officeDocument/2006/relationships/hyperlink" Target="https://www.sec.gov/Archives/edgar/data/912242/000110465915020810/a15-6873_1ex3d1.htm" TargetMode="External"/><Relationship Id="rId68" Type="http://schemas.openxmlformats.org/officeDocument/2006/relationships/hyperlink" Target="https://www.sec.gov/Archives/edgar/data/912242/000110465915037228/a15-11185_1ex3d1.htm" TargetMode="External"/><Relationship Id="rId69" Type="http://schemas.openxmlformats.org/officeDocument/2006/relationships/hyperlink" Target="https://www.sec.gov/Archives/edgar/data/912242/000110465915042631/a15-13305_1ex3d1.htm" TargetMode="External"/><Relationship Id="rId70" Type="http://schemas.openxmlformats.org/officeDocument/2006/relationships/hyperlink" Target="https://www.sec.gov/Archives/edgar/data/912242/000119312519129272/d731295dex31.htm" TargetMode="External"/><Relationship Id="rId71" Type="http://schemas.openxmlformats.org/officeDocument/2006/relationships/hyperlink" Target="https://www.sec.gov/Archives/edgar/data/912242/000119312521182973/d417870dex31.htm" TargetMode="External"/><Relationship Id="rId72" Type="http://schemas.openxmlformats.org/officeDocument/2006/relationships/hyperlink" Target="https://www.sec.gov/Archives/edgar/data/912242/000119312519129272/d731295dex32.htm" TargetMode="External"/><Relationship Id="rId73" Type="http://schemas.openxmlformats.org/officeDocument/2006/relationships/hyperlink" Target="https://www.sec.gov/Archives/edgar/data/912242/000119312526077466/d112967dex101.htm" TargetMode="External"/><Relationship Id="rId74" Type="http://schemas.openxmlformats.org/officeDocument/2006/relationships/hyperlink" Target="https://www.sec.gov/Archives/edgar/data/912242/000119312526077466/d11296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2026-05-07T07:49:14Z</dcterms:created>
  <dcterms:modified xsi:type="dcterms:W3CDTF">2026-05-07T07:49:14Z</dcterms:modified>
</cp:coreProperties>
</file>