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MACERICH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Smead Capital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ARIZONA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12,155,332.57</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12,155,332.57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12,155,332.57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W. Smead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ARIZONA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12,155,332.57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12,155,332.57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12,155,332.57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4.74 %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Cole W. Smead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ARIZONA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12,155,332.57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12,155,332.57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12,155,332.57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MACERICH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399"/>
        <w:spacing w:after="0"/>
        <w:rPr>
          <w:sz w:val="20"/>
          <w:szCs w:val="20"/>
          <w:color w:val="auto"/>
        </w:rPr>
      </w:pPr>
      <w:r>
        <w:rPr>
          <w:rFonts w:ascii="Times New Roman" w:cs="Times New Roman" w:eastAsia="Times New Roman" w:hAnsi="Times New Roman"/>
          <w:sz w:val="22"/>
          <w:szCs w:val="22"/>
          <w:color w:val="auto"/>
        </w:rPr>
        <w:t>410 Wilshire Blvd Suite 700, Santa Monica, CA 90401</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780"/>
        <w:spacing w:after="0" w:line="309" w:lineRule="auto"/>
        <w:rPr>
          <w:sz w:val="20"/>
          <w:szCs w:val="20"/>
          <w:color w:val="auto"/>
        </w:rPr>
      </w:pPr>
      <w:r>
        <w:rPr>
          <w:rFonts w:ascii="Times New Roman" w:cs="Times New Roman" w:eastAsia="Times New Roman" w:hAnsi="Times New Roman"/>
          <w:sz w:val="22"/>
          <w:szCs w:val="22"/>
          <w:color w:val="auto"/>
        </w:rPr>
        <w:t>Smead Capital Management, Inc. William W. Smead Cole W. Smead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2502 E Camelback Road, Suite 210, Phoenix, AZ 85016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12,155,332.57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60"/>
          </w:cols>
          <w:pgMar w:left="360" w:top="112" w:right="859" w:bottom="0" w:gutter="0" w:footer="0" w:header="0"/>
        </w:sectPr>
      </w:pPr>
    </w:p>
    <w:p>
      <w:pPr>
        <w:ind w:left="920"/>
        <w:spacing w:after="0"/>
        <w:rPr>
          <w:sz w:val="20"/>
          <w:szCs w:val="20"/>
          <w:color w:val="auto"/>
        </w:rPr>
      </w:pPr>
      <w:r>
        <w:rPr>
          <w:rFonts w:ascii="Times New Roman" w:cs="Times New Roman" w:eastAsia="Times New Roman" w:hAnsi="Times New Roman"/>
          <w:sz w:val="22"/>
          <w:szCs w:val="22"/>
          <w:color w:val="auto"/>
        </w:rPr>
        <w:t>4.74%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12,155,332.57</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86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12,155,332.57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Identification and Classification of the Subsidiary Which Acquired the Security Being Reported on by the Parent</w:t>
      </w:r>
    </w:p>
    <w:p>
      <w:pPr>
        <w:sectPr>
          <w:pgSz w:w="11900" w:h="16838" w:orient="portrait"/>
          <w:cols w:equalWidth="0" w:num="1">
            <w:col w:w="10680"/>
          </w:cols>
          <w:pgMar w:left="360" w:top="112" w:right="85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Holding Company or Control Person.</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Smead Capital Management, Inc.</w:t>
      </w:r>
    </w:p>
    <w:p>
      <w:pPr>
        <w:spacing w:after="0" w:line="152"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Brian Briggs</w:t>
      </w:r>
    </w:p>
    <w:p>
      <w:pPr>
        <w:spacing w:after="0" w:line="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Name/Title: Brian Briggs | Chief Compliance Officer</w:t>
      </w:r>
    </w:p>
    <w:p>
      <w:pPr>
        <w:spacing w:after="0" w:line="44"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04/22/2026</w:t>
      </w:r>
    </w:p>
    <w:p>
      <w:pPr>
        <w:spacing w:after="0" w:line="15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William W. Smead</w:t>
      </w:r>
    </w:p>
    <w:p>
      <w:pPr>
        <w:spacing w:after="0" w:line="152"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William W. Smead</w:t>
      </w:r>
    </w:p>
    <w:p>
      <w:pPr>
        <w:spacing w:after="0" w:line="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Name/Title: William W. Smead | Chief Investment Officer</w:t>
      </w:r>
    </w:p>
    <w:p>
      <w:pPr>
        <w:spacing w:after="0" w:line="44" w:lineRule="exact"/>
        <w:rPr>
          <w:sz w:val="20"/>
          <w:szCs w:val="20"/>
          <w:color w:val="auto"/>
        </w:rPr>
      </w:pPr>
    </w:p>
    <w:p>
      <w:pPr>
        <w:ind w:left="5240"/>
        <w:spacing w:after="0"/>
        <w:tabs>
          <w:tab w:leader="none" w:pos="6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04/22/2026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Cole W. Smead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Cole W. Smead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Cole W. Smead | President &amp; Chief Executive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04/22/2026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color w:val="auto"/>
        </w:rPr>
        <w:t>JOINT FILING STATEMENT PURSUANT TO RULE 13d-1(k) 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April 22, 2026 Smead Capital Management, Inc. /s/ Brian Briggs Brian Briggs | Chief Compliance Officer William W. Smead /s/ William W. Smead | Chief Investment Officer Cole W. Smead /s/ Cole W. Smead | President &amp; Chief Executive Officer</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2026-04-22T12:19:06Z</dcterms:created>
  <dcterms:modified xsi:type="dcterms:W3CDTF">2026-04-22T12:19:06Z</dcterms:modified>
</cp:coreProperties>
</file>